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895C" w14:textId="0E2AA794" w:rsidR="00531AE3" w:rsidRPr="00ED4E04" w:rsidRDefault="00531AE3" w:rsidP="00272C2E">
      <w:pPr>
        <w:pStyle w:val="Heading1"/>
        <w:numPr>
          <w:ilvl w:val="0"/>
          <w:numId w:val="0"/>
        </w:numPr>
        <w:spacing w:before="0" w:after="0" w:line="360" w:lineRule="auto"/>
        <w:ind w:left="360" w:hanging="360"/>
        <w:rPr>
          <w:b w:val="0"/>
          <w:bCs w:val="0"/>
        </w:rPr>
      </w:pPr>
      <w:bookmarkStart w:id="0" w:name="_Toc62730389"/>
      <w:r w:rsidRPr="00ED4E04">
        <w:t>Declaration</w:t>
      </w:r>
      <w:r w:rsidRPr="00ED4E04">
        <w:rPr>
          <w:noProof/>
        </w:rPr>
        <w:t xml:space="preserve"> on honour on exclusion criteria and selection criteria for tenders</w:t>
      </w:r>
      <w:bookmarkEnd w:id="0"/>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person is in one of the following situations or not:</w:t>
            </w:r>
          </w:p>
        </w:tc>
      </w:tr>
      <w:tr w:rsidR="00531AE3" w:rsidRPr="00ED4E04" w14:paraId="400A5D51" w14:textId="77777777" w:rsidTr="00E24EA5">
        <w:tc>
          <w:tcPr>
            <w:tcW w:w="8472" w:type="dxa"/>
            <w:shd w:val="clear" w:color="auto" w:fill="auto"/>
            <w:vAlign w:val="center"/>
          </w:tcPr>
          <w:p w14:paraId="33131E13" w14:textId="77777777"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 of exclusion concerning the person</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(v) attempting to obtain confidential information that may confer upon it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non-final administrative decisions which may include disciplinary measures taken by the competent supervisory body responsible for the verification of the application of standards of professional ethics;</w:t>
            </w:r>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ECB, the EIB, the European Investment Fund or international organisations;</w:t>
            </w:r>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260F459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p w14:paraId="32EE0215" w14:textId="77777777" w:rsidR="00531AE3" w:rsidRPr="00ED4E04" w:rsidRDefault="00531AE3" w:rsidP="00E24EA5">
            <w:pPr>
              <w:pStyle w:val="Text1"/>
              <w:spacing w:before="40" w:after="40"/>
              <w:ind w:left="360"/>
              <w:rPr>
                <w:rFonts w:asciiTheme="minorHAnsi" w:hAnsiTheme="minorHAnsi" w:cstheme="minorHAnsi"/>
                <w:color w:val="000000" w:themeColor="text1"/>
                <w:sz w:val="22"/>
                <w:szCs w:val="22"/>
              </w:rPr>
            </w:pP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77777777"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Situations of exclusion concerning natural persons with power of representation, decision-making or control over the legal person</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D4019">
              <w:rPr>
                <w:rFonts w:asciiTheme="minorHAnsi" w:hAnsiTheme="minorHAnsi"/>
                <w:color w:val="000000" w:themeColor="text1"/>
                <w:sz w:val="22"/>
              </w:rPr>
            </w:r>
            <w:r w:rsidR="001D401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D4019">
              <w:rPr>
                <w:rFonts w:asciiTheme="minorHAnsi" w:hAnsiTheme="minorHAnsi"/>
                <w:color w:val="000000" w:themeColor="text1"/>
              </w:rPr>
            </w:r>
            <w:r w:rsidR="001D401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A36" w14:textId="77777777" w:rsidR="00000000" w:rsidRDefault="001D4019">
      <w:r>
        <w:separator/>
      </w:r>
    </w:p>
  </w:endnote>
  <w:endnote w:type="continuationSeparator" w:id="0">
    <w:p w14:paraId="5AD7AF8A" w14:textId="77777777" w:rsidR="00000000" w:rsidRDefault="001D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56385"/>
      <w:docPartObj>
        <w:docPartGallery w:val="Page Numbers (Bottom of Page)"/>
        <w:docPartUnique/>
      </w:docPartObj>
    </w:sdtPr>
    <w:sdtEndPr/>
    <w:sdtContent>
      <w:p w14:paraId="3B94B2BA" w14:textId="77777777" w:rsidR="0061545E"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61545E" w:rsidRDefault="001D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2304" w14:textId="77777777" w:rsidR="00000000" w:rsidRDefault="001D4019">
      <w:r>
        <w:separator/>
      </w:r>
    </w:p>
  </w:footnote>
  <w:footnote w:type="continuationSeparator" w:id="0">
    <w:p w14:paraId="3D0F22AD" w14:textId="77777777" w:rsidR="00000000" w:rsidRDefault="001D4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lvlOverride w:ilvl="0">
      <w:startOverride w:val="4"/>
    </w:lvlOverride>
    <w:lvlOverride w:ilvl="1">
      <w:startOverride w:val="4"/>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1D4019"/>
    <w:rsid w:val="00272C2E"/>
    <w:rsid w:val="00531AE3"/>
    <w:rsid w:val="00C9436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1" ma:contentTypeDescription="Create a new document." ma:contentTypeScope="" ma:versionID="bd61d63b67c8cd9f2826652be44e3817">
  <xsd:schema xmlns:xsd="http://www.w3.org/2001/XMLSchema" xmlns:xs="http://www.w3.org/2001/XMLSchema" xmlns:p="http://schemas.microsoft.com/office/2006/metadata/properties" xmlns:ns2="64a838f5-3442-4a70-9090-7da2ca76fc4a" xmlns:ns3="342ec274-71cd-43d2-8fd2-71a89dba80c5" targetNamespace="http://schemas.microsoft.com/office/2006/metadata/properties" ma:root="true" ma:fieldsID="5e5eb0fea3fa907b05bf1f7f52411764" ns2:_="" ns3:_="">
    <xsd:import namespace="64a838f5-3442-4a70-9090-7da2ca76fc4a"/>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8EEFD-3500-47E0-92F8-50962B5D08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5F952-2B8C-421E-B64A-2AD937808252}">
  <ds:schemaRefs>
    <ds:schemaRef ds:uri="http://schemas.microsoft.com/sharepoint/v3/contenttype/forms"/>
  </ds:schemaRefs>
</ds:datastoreItem>
</file>

<file path=customXml/itemProps3.xml><?xml version="1.0" encoding="utf-8"?>
<ds:datastoreItem xmlns:ds="http://schemas.openxmlformats.org/officeDocument/2006/customXml" ds:itemID="{C16E3C25-97E2-445A-A513-47361C57C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8746</Characters>
  <Application>Microsoft Office Word</Application>
  <DocSecurity>4</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2022-09-06T06:45:00Z</dcterms:created>
  <dcterms:modified xsi:type="dcterms:W3CDTF">2022-09-06T06:45:00Z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