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D7138" w14:textId="5D8BC97A" w:rsidR="6A23925D" w:rsidRDefault="00BB4BE6" w:rsidP="6A23925D">
      <w:pPr>
        <w:pStyle w:val="Heading1"/>
        <w:jc w:val="both"/>
        <w:rPr>
          <w:sz w:val="36"/>
          <w:szCs w:val="36"/>
          <w:lang w:val="en-GB"/>
        </w:rPr>
      </w:pPr>
      <w:r w:rsidRPr="00BB4BE6">
        <w:rPr>
          <w:highlight w:val="yellow"/>
        </w:rPr>
        <w:t>Tender Test for Light Copyediting</w:t>
      </w:r>
      <w:r w:rsidRPr="00BB4BE6">
        <w:rPr>
          <w:rStyle w:val="CommentReference"/>
          <w:highlight w:val="yellow"/>
        </w:rPr>
        <w:annotationRef/>
      </w:r>
    </w:p>
    <w:p w14:paraId="145B3F9F" w14:textId="77777777" w:rsidR="00847142" w:rsidRDefault="000D6BB0">
      <w:pPr>
        <w:pStyle w:val="Heading1"/>
        <w:jc w:val="both"/>
        <w:rPr>
          <w:sz w:val="36"/>
          <w:szCs w:val="36"/>
          <w:lang w:val="en-GB"/>
        </w:rPr>
      </w:pPr>
      <w:r w:rsidRPr="00171C2D">
        <w:rPr>
          <w:sz w:val="36"/>
          <w:szCs w:val="36"/>
          <w:lang w:val="en-GB"/>
        </w:rPr>
        <w:t>Regulating the Business of Election Campaigns</w:t>
      </w:r>
    </w:p>
    <w:p w14:paraId="180A9E03" w14:textId="409A54A8" w:rsidR="00B556DE" w:rsidRPr="00171C2D" w:rsidRDefault="00847142">
      <w:pPr>
        <w:pStyle w:val="Heading1"/>
        <w:jc w:val="both"/>
        <w:rPr>
          <w:sz w:val="36"/>
          <w:szCs w:val="36"/>
          <w:lang w:val="en-GB"/>
        </w:rPr>
      </w:pPr>
      <w:r>
        <w:rPr>
          <w:sz w:val="36"/>
          <w:szCs w:val="36"/>
          <w:lang w:val="en-GB"/>
        </w:rPr>
        <w:t>F</w:t>
      </w:r>
      <w:r w:rsidR="000D6BB0" w:rsidRPr="00171C2D">
        <w:rPr>
          <w:sz w:val="36"/>
          <w:szCs w:val="36"/>
          <w:lang w:val="en-GB"/>
        </w:rPr>
        <w:t>inancial transparency in the influence ecosystem in the United Kingdom</w:t>
      </w:r>
    </w:p>
    <w:p w14:paraId="6A5C8EF6" w14:textId="77777777" w:rsidR="00B556DE" w:rsidRPr="00171C2D" w:rsidRDefault="00B556DE">
      <w:pPr>
        <w:rPr>
          <w:lang w:val="en-GB"/>
        </w:rPr>
      </w:pPr>
    </w:p>
    <w:p w14:paraId="7BE56435" w14:textId="77777777" w:rsidR="00B556DE" w:rsidRPr="00171C2D" w:rsidRDefault="00B556DE">
      <w:pPr>
        <w:rPr>
          <w:lang w:val="en-GB"/>
        </w:rPr>
      </w:pPr>
    </w:p>
    <w:p w14:paraId="2A423439" w14:textId="77777777" w:rsidR="00B556DE" w:rsidRPr="00171C2D" w:rsidRDefault="00B556DE">
      <w:pPr>
        <w:rPr>
          <w:lang w:val="en-GB"/>
        </w:rPr>
      </w:pPr>
    </w:p>
    <w:p w14:paraId="48DA48FF" w14:textId="77777777" w:rsidR="00B556DE" w:rsidRPr="00171C2D" w:rsidRDefault="00B556DE">
      <w:pPr>
        <w:rPr>
          <w:lang w:val="en-GB"/>
        </w:rPr>
      </w:pPr>
    </w:p>
    <w:p w14:paraId="792F33C1" w14:textId="77777777" w:rsidR="00B556DE" w:rsidRPr="00171C2D" w:rsidRDefault="00B556DE">
      <w:pPr>
        <w:rPr>
          <w:lang w:val="en-GB"/>
        </w:rPr>
      </w:pPr>
    </w:p>
    <w:p w14:paraId="22E15A24" w14:textId="77777777" w:rsidR="00B556DE" w:rsidRPr="00171C2D" w:rsidRDefault="00B556DE">
      <w:pPr>
        <w:rPr>
          <w:lang w:val="en-GB"/>
        </w:rPr>
      </w:pPr>
    </w:p>
    <w:p w14:paraId="3A4BE7A0" w14:textId="77777777" w:rsidR="00B556DE" w:rsidRPr="00171C2D" w:rsidRDefault="00B556DE">
      <w:pPr>
        <w:rPr>
          <w:lang w:val="en-GB"/>
        </w:rPr>
      </w:pPr>
    </w:p>
    <w:p w14:paraId="0D01C915" w14:textId="77777777" w:rsidR="00B556DE" w:rsidRPr="00171C2D" w:rsidRDefault="00B556DE">
      <w:pPr>
        <w:rPr>
          <w:lang w:val="en-GB"/>
        </w:rPr>
      </w:pPr>
    </w:p>
    <w:p w14:paraId="188BE9F2" w14:textId="77777777" w:rsidR="00B556DE" w:rsidRPr="00171C2D" w:rsidRDefault="00B556DE">
      <w:pPr>
        <w:rPr>
          <w:lang w:val="en-GB"/>
        </w:rPr>
      </w:pPr>
    </w:p>
    <w:p w14:paraId="4A9AAF0C" w14:textId="77777777" w:rsidR="00B556DE" w:rsidRPr="00171C2D" w:rsidRDefault="00B556DE">
      <w:pPr>
        <w:rPr>
          <w:lang w:val="en-GB"/>
        </w:rPr>
      </w:pPr>
    </w:p>
    <w:p w14:paraId="2B3A39CD" w14:textId="77777777" w:rsidR="00B556DE" w:rsidRPr="00171C2D" w:rsidRDefault="00B556DE">
      <w:pPr>
        <w:rPr>
          <w:lang w:val="en-GB"/>
        </w:rPr>
      </w:pPr>
    </w:p>
    <w:p w14:paraId="73C82A29" w14:textId="77777777" w:rsidR="00B556DE" w:rsidRPr="00171C2D" w:rsidRDefault="00B556DE">
      <w:pPr>
        <w:rPr>
          <w:lang w:val="en-GB"/>
        </w:rPr>
      </w:pPr>
    </w:p>
    <w:p w14:paraId="61066C0A" w14:textId="77777777" w:rsidR="00B556DE" w:rsidRPr="00171C2D" w:rsidRDefault="00B556DE">
      <w:pPr>
        <w:rPr>
          <w:lang w:val="en-GB"/>
        </w:rPr>
      </w:pPr>
    </w:p>
    <w:p w14:paraId="4E6BB34B" w14:textId="77777777" w:rsidR="00B556DE" w:rsidRPr="00171C2D" w:rsidRDefault="000D6BB0">
      <w:pPr>
        <w:rPr>
          <w:lang w:val="sv-SE"/>
        </w:rPr>
      </w:pPr>
      <w:r w:rsidRPr="00171C2D">
        <w:rPr>
          <w:lang w:val="sv-SE"/>
        </w:rPr>
        <w:t>Kate Dommett</w:t>
      </w:r>
    </w:p>
    <w:p w14:paraId="14CA2129" w14:textId="77777777" w:rsidR="00B556DE" w:rsidRPr="00171C2D" w:rsidRDefault="000D6BB0">
      <w:pPr>
        <w:rPr>
          <w:lang w:val="sv-SE"/>
        </w:rPr>
      </w:pPr>
      <w:r w:rsidRPr="00171C2D">
        <w:rPr>
          <w:lang w:val="sv-SE"/>
        </w:rPr>
        <w:t>Sam Power</w:t>
      </w:r>
    </w:p>
    <w:p w14:paraId="2966DE5D" w14:textId="77777777" w:rsidR="00B556DE" w:rsidRPr="00171C2D" w:rsidRDefault="000D6BB0">
      <w:pPr>
        <w:rPr>
          <w:lang w:val="sv-SE"/>
        </w:rPr>
      </w:pPr>
      <w:r w:rsidRPr="00171C2D">
        <w:rPr>
          <w:lang w:val="sv-SE"/>
        </w:rPr>
        <w:t>Amber Macintyre</w:t>
      </w:r>
    </w:p>
    <w:p w14:paraId="70BF2DF1" w14:textId="77777777" w:rsidR="00847142" w:rsidRDefault="000D6BB0">
      <w:pPr>
        <w:rPr>
          <w:lang w:val="en-GB"/>
        </w:rPr>
      </w:pPr>
      <w:r w:rsidRPr="00171C2D">
        <w:rPr>
          <w:lang w:val="en-GB"/>
        </w:rPr>
        <w:t>Andrew Barclay</w:t>
      </w:r>
    </w:p>
    <w:p w14:paraId="01B4321C" w14:textId="77777777" w:rsidR="00847142" w:rsidRDefault="00847142">
      <w:pPr>
        <w:rPr>
          <w:lang w:val="en-GB"/>
        </w:rPr>
      </w:pPr>
    </w:p>
    <w:p w14:paraId="6A6D5FAA" w14:textId="715269DD" w:rsidR="00B556DE" w:rsidRPr="00171C2D" w:rsidRDefault="000D6BB0">
      <w:pPr>
        <w:rPr>
          <w:lang w:val="en-GB"/>
        </w:rPr>
      </w:pPr>
      <w:r w:rsidRPr="00171C2D">
        <w:br w:type="page"/>
      </w:r>
    </w:p>
    <w:p w14:paraId="00FBDA59" w14:textId="18081AA3" w:rsidR="00B556DE" w:rsidRPr="00171C2D" w:rsidRDefault="000D6BB0">
      <w:pPr>
        <w:shd w:val="clear" w:color="auto" w:fill="FFFFFF"/>
        <w:jc w:val="both"/>
        <w:textAlignment w:val="baseline"/>
        <w:rPr>
          <w:sz w:val="28"/>
          <w:szCs w:val="28"/>
        </w:rPr>
      </w:pPr>
      <w:r w:rsidRPr="00171C2D">
        <w:rPr>
          <w:b/>
          <w:bCs/>
          <w:sz w:val="28"/>
          <w:szCs w:val="28"/>
        </w:rPr>
        <w:lastRenderedPageBreak/>
        <w:t>Acknowledgement</w:t>
      </w:r>
      <w:r w:rsidR="00502A51" w:rsidRPr="00171C2D">
        <w:rPr>
          <w:b/>
          <w:bCs/>
          <w:sz w:val="28"/>
          <w:szCs w:val="28"/>
        </w:rPr>
        <w:t>s</w:t>
      </w:r>
    </w:p>
    <w:p w14:paraId="58F436C9" w14:textId="77777777" w:rsidR="00B556DE" w:rsidRPr="00171C2D" w:rsidRDefault="00B556DE">
      <w:pPr>
        <w:pStyle w:val="NormalWeb"/>
        <w:shd w:val="clear" w:color="auto" w:fill="FFFFFF"/>
        <w:spacing w:beforeAutospacing="0" w:afterAutospacing="0"/>
        <w:jc w:val="both"/>
        <w:rPr>
          <w:rFonts w:ascii="Times New Roman" w:hAnsi="Times New Roman" w:cs="Times New Roman"/>
        </w:rPr>
      </w:pPr>
    </w:p>
    <w:p w14:paraId="4616A76B" w14:textId="5EB2DE71" w:rsidR="00F5161A" w:rsidRPr="00847142" w:rsidRDefault="00490CC2" w:rsidP="00A63E85">
      <w:pPr>
        <w:jc w:val="both"/>
        <w:rPr>
          <w:rFonts w:ascii="Avenir" w:eastAsia="Avenir" w:hAnsi="Avenir" w:cs="Avenir"/>
          <w:lang w:val="en-GB"/>
        </w:rPr>
      </w:pPr>
      <w:bookmarkStart w:id="0" w:name="_Hlk99553489"/>
      <w:r w:rsidRPr="00847142">
        <w:rPr>
          <w:rFonts w:ascii="Avenir" w:eastAsia="Avenir" w:hAnsi="Avenir" w:cs="Avenir"/>
          <w:lang w:val="en-GB"/>
        </w:rPr>
        <w:t xml:space="preserve">International </w:t>
      </w:r>
      <w:r w:rsidR="000D6BB0" w:rsidRPr="00847142">
        <w:rPr>
          <w:rFonts w:ascii="Avenir" w:eastAsia="Avenir" w:hAnsi="Avenir" w:cs="Avenir"/>
          <w:lang w:val="en-GB"/>
        </w:rPr>
        <w:t>IDEA</w:t>
      </w:r>
      <w:r w:rsidRPr="00847142">
        <w:rPr>
          <w:rFonts w:ascii="Avenir" w:eastAsia="Avenir" w:hAnsi="Avenir" w:cs="Avenir"/>
          <w:lang w:val="en-GB"/>
        </w:rPr>
        <w:t xml:space="preserve"> would like to thank the research team </w:t>
      </w:r>
      <w:r w:rsidR="008A2D96" w:rsidRPr="00847142">
        <w:rPr>
          <w:rFonts w:ascii="Avenir" w:eastAsia="Avenir" w:hAnsi="Avenir" w:cs="Avenir"/>
          <w:lang w:val="en-GB"/>
        </w:rPr>
        <w:t>(</w:t>
      </w:r>
      <w:r w:rsidR="00F5161A" w:rsidRPr="00847142">
        <w:rPr>
          <w:rFonts w:ascii="Avenir" w:eastAsia="Avenir" w:hAnsi="Avenir" w:cs="Avenir"/>
          <w:lang w:val="en-GB"/>
        </w:rPr>
        <w:t>Kate Dommett, Sam Power, Amber Macintyre, Andrew Barclay</w:t>
      </w:r>
      <w:r w:rsidR="008A2D96" w:rsidRPr="00847142">
        <w:rPr>
          <w:rFonts w:ascii="Avenir" w:eastAsia="Avenir" w:hAnsi="Avenir" w:cs="Avenir"/>
          <w:lang w:val="en-GB"/>
        </w:rPr>
        <w:t>)</w:t>
      </w:r>
      <w:r w:rsidR="00F5161A" w:rsidRPr="00847142">
        <w:rPr>
          <w:rFonts w:ascii="Avenir" w:eastAsia="Avenir" w:hAnsi="Avenir" w:cs="Avenir"/>
          <w:lang w:val="en-GB"/>
        </w:rPr>
        <w:t xml:space="preserve"> for </w:t>
      </w:r>
      <w:r w:rsidR="008A2D96" w:rsidRPr="00847142">
        <w:rPr>
          <w:rFonts w:ascii="Avenir" w:eastAsia="Avenir" w:hAnsi="Avenir" w:cs="Avenir"/>
          <w:lang w:val="en-GB"/>
        </w:rPr>
        <w:t>drafting the report</w:t>
      </w:r>
      <w:r w:rsidR="00502A51" w:rsidRPr="00847142">
        <w:rPr>
          <w:rFonts w:ascii="Avenir" w:eastAsia="Avenir" w:hAnsi="Avenir" w:cs="Avenir"/>
          <w:lang w:val="en-GB"/>
        </w:rPr>
        <w:t>.</w:t>
      </w:r>
      <w:r w:rsidR="003A0978" w:rsidRPr="00847142">
        <w:rPr>
          <w:rFonts w:ascii="Avenir" w:eastAsia="Avenir" w:hAnsi="Avenir" w:cs="Avenir"/>
          <w:lang w:val="en-GB"/>
        </w:rPr>
        <w:t xml:space="preserve"> </w:t>
      </w:r>
      <w:r w:rsidR="008A2D96" w:rsidRPr="00847142">
        <w:rPr>
          <w:rFonts w:ascii="Avenir" w:eastAsia="Avenir" w:hAnsi="Avenir" w:cs="Avenir"/>
          <w:lang w:val="en-GB"/>
        </w:rPr>
        <w:t>The report</w:t>
      </w:r>
      <w:r w:rsidR="00D33887" w:rsidRPr="00847142">
        <w:rPr>
          <w:rFonts w:ascii="Avenir" w:eastAsia="Avenir" w:hAnsi="Avenir" w:cs="Avenir"/>
          <w:lang w:val="en-GB"/>
        </w:rPr>
        <w:t xml:space="preserve"> and the production process </w:t>
      </w:r>
      <w:r w:rsidR="00311001" w:rsidRPr="00847142">
        <w:rPr>
          <w:rFonts w:ascii="Avenir" w:eastAsia="Avenir" w:hAnsi="Avenir" w:cs="Avenir"/>
          <w:lang w:val="en-GB"/>
        </w:rPr>
        <w:t>were</w:t>
      </w:r>
      <w:r w:rsidR="00D33887" w:rsidRPr="00847142">
        <w:rPr>
          <w:rFonts w:ascii="Avenir" w:eastAsia="Avenir" w:hAnsi="Avenir" w:cs="Avenir"/>
          <w:lang w:val="en-GB"/>
        </w:rPr>
        <w:t xml:space="preserve"> led, </w:t>
      </w:r>
      <w:proofErr w:type="gramStart"/>
      <w:r w:rsidR="004F56B5" w:rsidRPr="00847142">
        <w:rPr>
          <w:rFonts w:ascii="Avenir" w:eastAsia="Avenir" w:hAnsi="Avenir" w:cs="Avenir"/>
          <w:lang w:val="en-GB"/>
        </w:rPr>
        <w:t>coordinated</w:t>
      </w:r>
      <w:proofErr w:type="gramEnd"/>
      <w:r w:rsidR="00D33887" w:rsidRPr="00847142">
        <w:rPr>
          <w:rFonts w:ascii="Avenir" w:eastAsia="Avenir" w:hAnsi="Avenir" w:cs="Avenir"/>
          <w:lang w:val="en-GB"/>
        </w:rPr>
        <w:t xml:space="preserve"> and supervised by the Money in Politics team, within the Electoral Processes</w:t>
      </w:r>
      <w:r w:rsidR="00E62A92" w:rsidRPr="00847142">
        <w:rPr>
          <w:rFonts w:ascii="Avenir" w:eastAsia="Avenir" w:hAnsi="Avenir" w:cs="Avenir"/>
          <w:lang w:val="en-GB"/>
        </w:rPr>
        <w:t xml:space="preserve"> </w:t>
      </w:r>
      <w:r w:rsidR="00502A51" w:rsidRPr="00847142">
        <w:rPr>
          <w:rFonts w:ascii="Avenir" w:eastAsia="Avenir" w:hAnsi="Avenir" w:cs="Avenir"/>
          <w:lang w:val="en-GB"/>
        </w:rPr>
        <w:t>p</w:t>
      </w:r>
      <w:r w:rsidR="00E62A92" w:rsidRPr="00847142">
        <w:rPr>
          <w:rFonts w:ascii="Avenir" w:eastAsia="Avenir" w:hAnsi="Avenir" w:cs="Avenir"/>
          <w:lang w:val="en-GB"/>
        </w:rPr>
        <w:t xml:space="preserve">rogramme, especially </w:t>
      </w:r>
      <w:r w:rsidR="00502A51" w:rsidRPr="00847142">
        <w:rPr>
          <w:rFonts w:ascii="Avenir" w:eastAsia="Avenir" w:hAnsi="Avenir" w:cs="Avenir"/>
          <w:lang w:val="en-GB"/>
        </w:rPr>
        <w:t xml:space="preserve">by </w:t>
      </w:r>
      <w:r w:rsidR="00E62A92" w:rsidRPr="00847142">
        <w:rPr>
          <w:rFonts w:ascii="Avenir" w:eastAsia="Avenir" w:hAnsi="Avenir" w:cs="Avenir"/>
          <w:lang w:val="en-GB"/>
        </w:rPr>
        <w:t xml:space="preserve">Yukihiko Hamada and Khushbu Agrawal. </w:t>
      </w:r>
      <w:r w:rsidR="008B639D" w:rsidRPr="00847142">
        <w:rPr>
          <w:rFonts w:ascii="Avenir" w:eastAsia="Avenir" w:hAnsi="Avenir" w:cs="Avenir"/>
          <w:lang w:val="en-GB"/>
        </w:rPr>
        <w:t xml:space="preserve">We would also like to express our gratitude to </w:t>
      </w:r>
      <w:r w:rsidR="000A27F9" w:rsidRPr="00847142">
        <w:rPr>
          <w:rFonts w:ascii="Avenir" w:eastAsia="Avenir" w:hAnsi="Avenir" w:cs="Avenir"/>
          <w:lang w:val="en-GB"/>
        </w:rPr>
        <w:t xml:space="preserve">Massimo Tommasoli, </w:t>
      </w:r>
      <w:r w:rsidR="008B639D" w:rsidRPr="00847142">
        <w:rPr>
          <w:rFonts w:ascii="Avenir" w:eastAsia="Avenir" w:hAnsi="Avenir" w:cs="Avenir"/>
          <w:lang w:val="en-GB"/>
        </w:rPr>
        <w:t>Therese Pearce-Laanela and</w:t>
      </w:r>
      <w:r w:rsidR="00F67B4F" w:rsidRPr="00847142">
        <w:rPr>
          <w:rFonts w:ascii="Avenir" w:eastAsia="Avenir" w:hAnsi="Avenir" w:cs="Avenir"/>
          <w:lang w:val="en-GB"/>
        </w:rPr>
        <w:t xml:space="preserve"> </w:t>
      </w:r>
      <w:r w:rsidR="008B639D" w:rsidRPr="00847142">
        <w:rPr>
          <w:rFonts w:ascii="Avenir" w:eastAsia="Avenir" w:hAnsi="Avenir" w:cs="Avenir"/>
          <w:lang w:val="en-GB"/>
        </w:rPr>
        <w:t>Sead Alihodžić</w:t>
      </w:r>
      <w:r w:rsidR="00F67B4F" w:rsidRPr="00847142">
        <w:rPr>
          <w:rFonts w:ascii="Avenir" w:eastAsia="Avenir" w:hAnsi="Avenir" w:cs="Avenir"/>
          <w:lang w:val="en-GB"/>
        </w:rPr>
        <w:t xml:space="preserve"> </w:t>
      </w:r>
      <w:r w:rsidR="008B639D" w:rsidRPr="00847142">
        <w:rPr>
          <w:rFonts w:ascii="Avenir" w:eastAsia="Avenir" w:hAnsi="Avenir" w:cs="Avenir"/>
          <w:lang w:val="en-GB"/>
        </w:rPr>
        <w:t xml:space="preserve">for reviewing the </w:t>
      </w:r>
      <w:r w:rsidR="004F56B5" w:rsidRPr="00847142">
        <w:rPr>
          <w:rFonts w:ascii="Avenir" w:eastAsia="Avenir" w:hAnsi="Avenir" w:cs="Avenir"/>
          <w:lang w:val="en-GB"/>
        </w:rPr>
        <w:t>draft</w:t>
      </w:r>
      <w:r w:rsidR="008B639D" w:rsidRPr="00847142">
        <w:rPr>
          <w:rFonts w:ascii="Avenir" w:eastAsia="Avenir" w:hAnsi="Avenir" w:cs="Avenir"/>
          <w:lang w:val="en-GB"/>
        </w:rPr>
        <w:t xml:space="preserve"> of the </w:t>
      </w:r>
      <w:r w:rsidR="004F56B5" w:rsidRPr="00847142">
        <w:rPr>
          <w:rFonts w:ascii="Avenir" w:eastAsia="Avenir" w:hAnsi="Avenir" w:cs="Avenir"/>
          <w:lang w:val="en-GB"/>
        </w:rPr>
        <w:t>report</w:t>
      </w:r>
      <w:r w:rsidR="008B639D" w:rsidRPr="00847142">
        <w:rPr>
          <w:rFonts w:ascii="Avenir" w:eastAsia="Avenir" w:hAnsi="Avenir" w:cs="Avenir"/>
          <w:lang w:val="en-GB"/>
        </w:rPr>
        <w:t xml:space="preserve"> and providing their valuable comments and feedback.</w:t>
      </w:r>
      <w:r w:rsidR="003A0978" w:rsidRPr="00847142">
        <w:rPr>
          <w:rFonts w:ascii="Avenir" w:eastAsia="Avenir" w:hAnsi="Avenir" w:cs="Avenir"/>
          <w:lang w:val="en-GB"/>
        </w:rPr>
        <w:t xml:space="preserve"> </w:t>
      </w:r>
      <w:r w:rsidR="008B639D" w:rsidRPr="00847142">
        <w:rPr>
          <w:rFonts w:ascii="Avenir" w:eastAsia="Avenir" w:hAnsi="Avenir" w:cs="Avenir"/>
          <w:lang w:val="en-GB"/>
        </w:rPr>
        <w:t>Thanks also</w:t>
      </w:r>
      <w:r w:rsidR="003A0978" w:rsidRPr="00847142">
        <w:rPr>
          <w:rFonts w:ascii="Avenir" w:eastAsia="Avenir" w:hAnsi="Avenir" w:cs="Avenir"/>
          <w:lang w:val="en-GB"/>
        </w:rPr>
        <w:t xml:space="preserve"> </w:t>
      </w:r>
      <w:r w:rsidR="008B639D" w:rsidRPr="00847142">
        <w:rPr>
          <w:rFonts w:ascii="Avenir" w:eastAsia="Avenir" w:hAnsi="Avenir" w:cs="Avenir"/>
          <w:lang w:val="en-GB"/>
        </w:rPr>
        <w:t>to Sarah</w:t>
      </w:r>
      <w:r w:rsidR="003A0978" w:rsidRPr="00847142">
        <w:rPr>
          <w:rFonts w:ascii="Avenir" w:eastAsia="Avenir" w:hAnsi="Avenir" w:cs="Avenir"/>
          <w:lang w:val="en-GB"/>
        </w:rPr>
        <w:t xml:space="preserve"> </w:t>
      </w:r>
      <w:r w:rsidR="008B639D" w:rsidRPr="00847142">
        <w:rPr>
          <w:rFonts w:ascii="Avenir" w:eastAsia="Avenir" w:hAnsi="Avenir" w:cs="Avenir"/>
          <w:lang w:val="en-GB"/>
        </w:rPr>
        <w:t>Chatwin</w:t>
      </w:r>
      <w:r w:rsidR="003A0978" w:rsidRPr="00847142">
        <w:rPr>
          <w:rFonts w:ascii="Avenir" w:eastAsia="Avenir" w:hAnsi="Avenir" w:cs="Avenir"/>
          <w:lang w:val="en-GB"/>
        </w:rPr>
        <w:t xml:space="preserve"> </w:t>
      </w:r>
      <w:r w:rsidR="008B639D" w:rsidRPr="00847142">
        <w:rPr>
          <w:rFonts w:ascii="Avenir" w:eastAsia="Avenir" w:hAnsi="Avenir" w:cs="Avenir"/>
          <w:lang w:val="en-GB"/>
        </w:rPr>
        <w:t>from Accuracy Matters, Lisa Hagman and Tendai</w:t>
      </w:r>
      <w:r w:rsidR="003A0978" w:rsidRPr="00847142">
        <w:rPr>
          <w:rFonts w:ascii="Avenir" w:eastAsia="Avenir" w:hAnsi="Avenir" w:cs="Avenir"/>
          <w:lang w:val="en-GB"/>
        </w:rPr>
        <w:t xml:space="preserve"> </w:t>
      </w:r>
      <w:r w:rsidR="008B639D" w:rsidRPr="00847142">
        <w:rPr>
          <w:rFonts w:ascii="Avenir" w:eastAsia="Avenir" w:hAnsi="Avenir" w:cs="Avenir"/>
          <w:lang w:val="en-GB"/>
        </w:rPr>
        <w:t>Chinamora-Jönsson for their</w:t>
      </w:r>
      <w:r w:rsidR="003A0978" w:rsidRPr="00847142">
        <w:rPr>
          <w:rFonts w:ascii="Avenir" w:eastAsia="Avenir" w:hAnsi="Avenir" w:cs="Avenir"/>
          <w:lang w:val="en-GB"/>
        </w:rPr>
        <w:t xml:space="preserve"> </w:t>
      </w:r>
      <w:r w:rsidR="008B639D" w:rsidRPr="00847142">
        <w:rPr>
          <w:rFonts w:ascii="Avenir" w:eastAsia="Avenir" w:hAnsi="Avenir" w:cs="Avenir"/>
          <w:lang w:val="en-GB"/>
        </w:rPr>
        <w:t>support in various editorial and administrative</w:t>
      </w:r>
      <w:r w:rsidR="003A0978" w:rsidRPr="00847142">
        <w:rPr>
          <w:rFonts w:ascii="Avenir" w:eastAsia="Avenir" w:hAnsi="Avenir" w:cs="Avenir"/>
          <w:lang w:val="en-GB"/>
        </w:rPr>
        <w:t xml:space="preserve"> </w:t>
      </w:r>
      <w:r w:rsidR="008B639D" w:rsidRPr="00847142">
        <w:rPr>
          <w:rFonts w:ascii="Avenir" w:eastAsia="Avenir" w:hAnsi="Avenir" w:cs="Avenir"/>
          <w:lang w:val="en-GB"/>
        </w:rPr>
        <w:t>tasks.</w:t>
      </w:r>
    </w:p>
    <w:p w14:paraId="3468A245" w14:textId="77777777" w:rsidR="008A2D96" w:rsidRPr="00847142" w:rsidRDefault="008A2D96" w:rsidP="00847142">
      <w:pPr>
        <w:jc w:val="both"/>
        <w:rPr>
          <w:rFonts w:ascii="Avenir" w:eastAsia="Avenir" w:hAnsi="Avenir" w:cs="Avenir"/>
          <w:lang w:val="en-GB"/>
        </w:rPr>
      </w:pPr>
    </w:p>
    <w:p w14:paraId="1DA6BC43" w14:textId="77777777" w:rsidR="00847142" w:rsidRPr="00847142" w:rsidRDefault="000A27F9" w:rsidP="00A63E85">
      <w:pPr>
        <w:jc w:val="both"/>
        <w:rPr>
          <w:rFonts w:ascii="Avenir" w:eastAsia="Avenir" w:hAnsi="Avenir" w:cs="Avenir"/>
          <w:lang w:val="en-GB"/>
        </w:rPr>
      </w:pPr>
      <w:r w:rsidRPr="00847142">
        <w:rPr>
          <w:rFonts w:ascii="Avenir" w:eastAsia="Avenir" w:hAnsi="Avenir" w:cs="Avenir"/>
          <w:lang w:val="en-GB"/>
        </w:rPr>
        <w:t>The research team carried out this study as part of their larger project, ‘Data-driven campaigns: intended and unintended consequences for democracy (DATADRIVEN)’. They</w:t>
      </w:r>
      <w:r w:rsidR="000D6BB0" w:rsidRPr="00847142">
        <w:rPr>
          <w:rFonts w:ascii="Avenir" w:eastAsia="Avenir" w:hAnsi="Avenir" w:cs="Avenir"/>
          <w:lang w:val="en-GB"/>
        </w:rPr>
        <w:t xml:space="preserve"> would like to acknowledge that the </w:t>
      </w:r>
      <w:r w:rsidRPr="00847142">
        <w:rPr>
          <w:rFonts w:ascii="Avenir" w:eastAsia="Avenir" w:hAnsi="Avenir" w:cs="Avenir"/>
          <w:lang w:val="en-GB"/>
        </w:rPr>
        <w:t>p</w:t>
      </w:r>
      <w:r w:rsidR="000D6BB0" w:rsidRPr="00847142">
        <w:rPr>
          <w:rFonts w:ascii="Avenir" w:eastAsia="Avenir" w:hAnsi="Avenir" w:cs="Avenir"/>
          <w:lang w:val="en-GB"/>
        </w:rPr>
        <w:t>roject is financially supported by the NORFACE Joint Research Programme on Democratic Governance in a Turbulent Age and co-funded by [AEI, AKA, ANR, ARRS, DFF, DFG, ESRC, FNR, FWF, FWO, IRC, NCN, NWO, RCN, SNSF and VR], and the European Commission through Horizon 2020 under grant agreement No</w:t>
      </w:r>
      <w:r w:rsidR="00E94822" w:rsidRPr="00847142">
        <w:rPr>
          <w:rFonts w:ascii="Avenir" w:eastAsia="Avenir" w:hAnsi="Avenir" w:cs="Avenir"/>
          <w:lang w:val="en-GB"/>
        </w:rPr>
        <w:t>.</w:t>
      </w:r>
      <w:r w:rsidR="000D6BB0" w:rsidRPr="00847142">
        <w:rPr>
          <w:rFonts w:ascii="Avenir" w:eastAsia="Avenir" w:hAnsi="Avenir" w:cs="Avenir"/>
          <w:lang w:val="en-GB"/>
        </w:rPr>
        <w:t xml:space="preserve"> 822166. This research was also made possible thanks to funding Tactical Tech</w:t>
      </w:r>
      <w:r w:rsidR="00C65C8C" w:rsidRPr="00847142">
        <w:rPr>
          <w:rFonts w:ascii="Avenir" w:eastAsia="Avenir" w:hAnsi="Avenir" w:cs="Avenir"/>
          <w:lang w:val="en-GB"/>
        </w:rPr>
        <w:t xml:space="preserve"> has received for its own </w:t>
      </w:r>
      <w:r w:rsidR="000D6BB0" w:rsidRPr="00847142">
        <w:rPr>
          <w:rFonts w:ascii="Avenir" w:eastAsia="Avenir" w:hAnsi="Avenir" w:cs="Avenir"/>
          <w:lang w:val="en-GB"/>
        </w:rPr>
        <w:t>projects from the Swedish Postcode Foundation and Swedish International Development Agency.</w:t>
      </w:r>
      <w:bookmarkEnd w:id="0"/>
    </w:p>
    <w:p w14:paraId="12827C92" w14:textId="209106F8" w:rsidR="00B556DE" w:rsidRPr="00171C2D" w:rsidRDefault="000D6BB0" w:rsidP="00A63E85">
      <w:pPr>
        <w:jc w:val="both"/>
        <w:rPr>
          <w:rFonts w:ascii="Avenir Book" w:eastAsia="Times New Roman" w:hAnsi="Avenir Book" w:cs="Times New Roman"/>
          <w:lang w:val="en-GB" w:eastAsia="en-GB"/>
        </w:rPr>
      </w:pPr>
      <w:r w:rsidRPr="00171C2D">
        <w:br w:type="page"/>
      </w:r>
    </w:p>
    <w:p w14:paraId="32F1B13A" w14:textId="77777777" w:rsidR="00B556DE" w:rsidRPr="00171C2D" w:rsidRDefault="000D6BB0">
      <w:pPr>
        <w:shd w:val="clear" w:color="auto" w:fill="FFFFFF"/>
        <w:jc w:val="both"/>
        <w:textAlignment w:val="baseline"/>
        <w:rPr>
          <w:sz w:val="28"/>
          <w:szCs w:val="28"/>
          <w:lang w:val="en-GB"/>
        </w:rPr>
      </w:pPr>
      <w:r w:rsidRPr="00171C2D">
        <w:rPr>
          <w:b/>
          <w:bCs/>
          <w:sz w:val="28"/>
          <w:szCs w:val="28"/>
        </w:rPr>
        <w:lastRenderedPageBreak/>
        <w:t xml:space="preserve">Executive </w:t>
      </w:r>
      <w:commentRangeStart w:id="1"/>
      <w:r w:rsidRPr="00171C2D">
        <w:rPr>
          <w:b/>
          <w:bCs/>
          <w:sz w:val="28"/>
          <w:szCs w:val="28"/>
          <w:lang w:val="en-GB"/>
        </w:rPr>
        <w:t>Su</w:t>
      </w:r>
      <w:proofErr w:type="spellStart"/>
      <w:r w:rsidRPr="00171C2D">
        <w:rPr>
          <w:b/>
          <w:bCs/>
          <w:sz w:val="28"/>
          <w:szCs w:val="28"/>
        </w:rPr>
        <w:t>mmar</w:t>
      </w:r>
      <w:proofErr w:type="spellEnd"/>
      <w:r w:rsidRPr="00171C2D">
        <w:rPr>
          <w:b/>
          <w:bCs/>
          <w:sz w:val="28"/>
          <w:szCs w:val="28"/>
          <w:lang w:val="en-GB"/>
        </w:rPr>
        <w:t>y</w:t>
      </w:r>
      <w:commentRangeEnd w:id="1"/>
      <w:r w:rsidR="00EC60C7">
        <w:rPr>
          <w:rStyle w:val="CommentReference"/>
        </w:rPr>
        <w:commentReference w:id="1"/>
      </w:r>
    </w:p>
    <w:p w14:paraId="7D28BCC8" w14:textId="77777777" w:rsidR="00B556DE" w:rsidRPr="00171C2D" w:rsidRDefault="000D6BB0">
      <w:pPr>
        <w:pStyle w:val="NormalWeb"/>
        <w:shd w:val="clear" w:color="auto" w:fill="FFFFFF"/>
        <w:spacing w:beforeAutospacing="0" w:afterAutospacing="0"/>
        <w:jc w:val="both"/>
        <w:rPr>
          <w:rFonts w:ascii="Avenir" w:hAnsi="Avenir"/>
        </w:rPr>
      </w:pPr>
      <w:r w:rsidRPr="00171C2D">
        <w:rPr>
          <w:rFonts w:ascii="Avenir" w:hAnsi="Avenir"/>
        </w:rPr>
        <w:t> </w:t>
      </w:r>
    </w:p>
    <w:p w14:paraId="1EDF4622" w14:textId="25F83467" w:rsidR="00B556DE" w:rsidRPr="00171C2D" w:rsidRDefault="000D6BB0" w:rsidP="0075740B">
      <w:pPr>
        <w:jc w:val="both"/>
        <w:rPr>
          <w:rFonts w:ascii="Avenir" w:eastAsia="Avenir" w:hAnsi="Avenir" w:cs="Avenir"/>
          <w:lang w:val="en-GB"/>
        </w:rPr>
      </w:pPr>
      <w:r w:rsidRPr="00171C2D">
        <w:rPr>
          <w:rFonts w:ascii="Avenir" w:eastAsia="Avenir" w:hAnsi="Avenir" w:cs="Avenir"/>
          <w:lang w:val="en-GB"/>
        </w:rPr>
        <w:t xml:space="preserve">Political parties operating in modern democracies rely on working with private companies </w:t>
      </w:r>
      <w:r w:rsidR="00FB6D39" w:rsidRPr="00171C2D">
        <w:rPr>
          <w:rFonts w:ascii="Avenir" w:eastAsia="Avenir" w:hAnsi="Avenir" w:cs="Avenir"/>
          <w:lang w:val="en-GB"/>
        </w:rPr>
        <w:t xml:space="preserve">and external </w:t>
      </w:r>
      <w:r w:rsidR="00847142">
        <w:rPr>
          <w:rFonts w:ascii="Avenir" w:eastAsia="Avenir" w:hAnsi="Avenir" w:cs="Avenir"/>
          <w:lang w:val="en-GB"/>
        </w:rPr>
        <w:t>organization</w:t>
      </w:r>
      <w:r w:rsidR="00FB6D39" w:rsidRPr="00171C2D">
        <w:rPr>
          <w:rFonts w:ascii="Avenir" w:eastAsia="Avenir" w:hAnsi="Avenir" w:cs="Avenir"/>
          <w:lang w:val="en-GB"/>
        </w:rPr>
        <w:t xml:space="preserve">s </w:t>
      </w:r>
      <w:r w:rsidRPr="00171C2D">
        <w:rPr>
          <w:rFonts w:ascii="Avenir" w:eastAsia="Avenir" w:hAnsi="Avenir" w:cs="Avenir"/>
          <w:lang w:val="en-GB"/>
        </w:rPr>
        <w:t>to campaign effectively. From the expertise of marketing and campaign professionals to the production of advertising content and overcoming the logistical challenges of running a campaign, there are a wide range of services which parties either need or prefer to source from suppliers.</w:t>
      </w:r>
    </w:p>
    <w:p w14:paraId="76925B64" w14:textId="77777777" w:rsidR="00B556DE" w:rsidRPr="00171C2D" w:rsidRDefault="000D6BB0" w:rsidP="0075740B">
      <w:pPr>
        <w:jc w:val="both"/>
        <w:rPr>
          <w:rFonts w:ascii="Avenir" w:eastAsia="Avenir" w:hAnsi="Avenir" w:cs="Avenir"/>
          <w:lang w:val="en-GB"/>
        </w:rPr>
      </w:pPr>
      <w:r w:rsidRPr="00171C2D">
        <w:rPr>
          <w:rFonts w:ascii="Avenir" w:eastAsia="Avenir" w:hAnsi="Avenir" w:cs="Avenir"/>
          <w:lang w:val="en-GB"/>
        </w:rPr>
        <w:t> </w:t>
      </w:r>
    </w:p>
    <w:p w14:paraId="67C911BF" w14:textId="7D8FBBA6" w:rsidR="00B556DE" w:rsidRPr="00171C2D" w:rsidRDefault="000D6BB0" w:rsidP="0075740B">
      <w:pPr>
        <w:jc w:val="both"/>
        <w:rPr>
          <w:rFonts w:ascii="Avenir" w:eastAsia="Avenir" w:hAnsi="Avenir" w:cs="Avenir"/>
          <w:lang w:val="en-GB"/>
        </w:rPr>
      </w:pPr>
      <w:r w:rsidRPr="00171C2D">
        <w:rPr>
          <w:rFonts w:ascii="Avenir" w:eastAsia="Avenir" w:hAnsi="Avenir" w:cs="Avenir"/>
          <w:lang w:val="en-GB"/>
        </w:rPr>
        <w:t xml:space="preserve">Despite their importance, relatively little is known about these </w:t>
      </w:r>
      <w:r w:rsidR="00847142">
        <w:rPr>
          <w:rFonts w:ascii="Avenir" w:eastAsia="Avenir" w:hAnsi="Avenir" w:cs="Avenir"/>
          <w:lang w:val="en-GB"/>
        </w:rPr>
        <w:t>organization</w:t>
      </w:r>
      <w:r w:rsidRPr="00171C2D">
        <w:rPr>
          <w:rFonts w:ascii="Avenir" w:eastAsia="Avenir" w:hAnsi="Avenir" w:cs="Avenir"/>
          <w:lang w:val="en-GB"/>
        </w:rPr>
        <w:t>s and the relationship that they have with campaigns. This is especially notable when it comes to transparency, the proliferation of companies which specialise in data and digital technology, and the suggestion that some of these companies have engaged in potentially duplicitous practice</w:t>
      </w:r>
      <w:r w:rsidR="00AE4793" w:rsidRPr="00171C2D">
        <w:rPr>
          <w:rFonts w:ascii="Avenir" w:eastAsia="Avenir" w:hAnsi="Avenir" w:cs="Avenir"/>
          <w:lang w:val="en-GB"/>
        </w:rPr>
        <w:t>s</w:t>
      </w:r>
      <w:r w:rsidRPr="00171C2D">
        <w:rPr>
          <w:rFonts w:ascii="Avenir" w:eastAsia="Avenir" w:hAnsi="Avenir" w:cs="Avenir"/>
          <w:lang w:val="en-GB"/>
        </w:rPr>
        <w:t xml:space="preserve"> (most notably in the case of Cambridge Analytica).</w:t>
      </w:r>
    </w:p>
    <w:p w14:paraId="27BAC77F" w14:textId="77777777" w:rsidR="00B556DE" w:rsidRPr="00171C2D" w:rsidRDefault="000D6BB0" w:rsidP="0075740B">
      <w:pPr>
        <w:jc w:val="both"/>
        <w:rPr>
          <w:rFonts w:ascii="Avenir" w:eastAsia="Avenir" w:hAnsi="Avenir" w:cs="Avenir"/>
          <w:lang w:val="en-GB"/>
        </w:rPr>
      </w:pPr>
      <w:r w:rsidRPr="00171C2D">
        <w:rPr>
          <w:rFonts w:ascii="Avenir" w:eastAsia="Avenir" w:hAnsi="Avenir" w:cs="Avenir"/>
          <w:lang w:val="en-GB"/>
        </w:rPr>
        <w:t> </w:t>
      </w:r>
    </w:p>
    <w:p w14:paraId="43841752" w14:textId="5073512D" w:rsidR="00B556DE" w:rsidRPr="00171C2D" w:rsidRDefault="000D6BB0" w:rsidP="0075740B">
      <w:pPr>
        <w:jc w:val="both"/>
        <w:rPr>
          <w:rFonts w:ascii="Avenir" w:eastAsia="Avenir" w:hAnsi="Avenir" w:cs="Avenir"/>
          <w:lang w:val="en-GB"/>
        </w:rPr>
      </w:pPr>
      <w:r w:rsidRPr="00171C2D">
        <w:rPr>
          <w:rFonts w:ascii="Avenir" w:eastAsia="Avenir" w:hAnsi="Avenir" w:cs="Avenir"/>
          <w:lang w:val="en-GB"/>
        </w:rPr>
        <w:t>This report addresses this deficit by looking in-depth at the United Kingdom, whose electoral transparency regime is regarded as world leading. The report uses the UK Electoral Commission's database of spending returns for the 2019 General Election to understand what suppliers and services parties spent their money</w:t>
      </w:r>
      <w:r w:rsidR="000A1C13" w:rsidRPr="00171C2D">
        <w:rPr>
          <w:rFonts w:ascii="Avenir" w:eastAsia="Avenir" w:hAnsi="Avenir" w:cs="Avenir"/>
          <w:lang w:val="en-GB"/>
        </w:rPr>
        <w:t xml:space="preserve"> on</w:t>
      </w:r>
      <w:r w:rsidRPr="00171C2D">
        <w:rPr>
          <w:rFonts w:ascii="Avenir" w:eastAsia="Avenir" w:hAnsi="Avenir" w:cs="Avenir"/>
          <w:lang w:val="en-GB"/>
        </w:rPr>
        <w:t>. 13,202 invoices were systematically analysed to investigate the kinds of companies that parties engage with and the specific services that they are providing.</w:t>
      </w:r>
    </w:p>
    <w:p w14:paraId="3D7F89DE" w14:textId="77777777" w:rsidR="00B556DE" w:rsidRPr="00171C2D" w:rsidRDefault="000D6BB0">
      <w:pPr>
        <w:pStyle w:val="NormalWeb"/>
        <w:shd w:val="clear" w:color="auto" w:fill="FFFFFF"/>
        <w:spacing w:beforeAutospacing="0" w:afterAutospacing="0" w:line="276" w:lineRule="auto"/>
        <w:jc w:val="both"/>
        <w:rPr>
          <w:rFonts w:ascii="Avenir" w:hAnsi="Avenir"/>
        </w:rPr>
      </w:pPr>
      <w:r w:rsidRPr="00171C2D">
        <w:rPr>
          <w:rFonts w:ascii="Avenir" w:hAnsi="Avenir"/>
        </w:rPr>
        <w:t> </w:t>
      </w:r>
    </w:p>
    <w:p w14:paraId="60D8E4C2" w14:textId="2CBF8A2B" w:rsidR="00B556DE" w:rsidRPr="00171C2D" w:rsidRDefault="000D6BB0">
      <w:pPr>
        <w:pStyle w:val="NormalWeb"/>
        <w:shd w:val="clear" w:color="auto" w:fill="FFFFFF"/>
        <w:spacing w:beforeAutospacing="0" w:afterAutospacing="0" w:line="276" w:lineRule="auto"/>
        <w:jc w:val="both"/>
        <w:rPr>
          <w:rFonts w:ascii="Avenir" w:hAnsi="Avenir"/>
        </w:rPr>
      </w:pPr>
      <w:r w:rsidRPr="00171C2D">
        <w:rPr>
          <w:rFonts w:ascii="Avenir" w:hAnsi="Avenir" w:cs="Times New Roman"/>
        </w:rPr>
        <w:t xml:space="preserve">In terms of the services which the parties’ resourced, </w:t>
      </w:r>
      <w:r w:rsidRPr="00171C2D">
        <w:rPr>
          <w:rFonts w:ascii="Avenir" w:hAnsi="Avenir" w:cs="Times New Roman"/>
          <w:lang w:val="en-GB"/>
        </w:rPr>
        <w:t>it was</w:t>
      </w:r>
      <w:r w:rsidRPr="00171C2D">
        <w:rPr>
          <w:rFonts w:ascii="Avenir" w:hAnsi="Avenir" w:cs="Times New Roman"/>
        </w:rPr>
        <w:t xml:space="preserve"> found that:</w:t>
      </w:r>
    </w:p>
    <w:p w14:paraId="7BCCE1E1" w14:textId="78CAE43F" w:rsidR="00B556DE" w:rsidRPr="00171C2D" w:rsidRDefault="000D6BB0">
      <w:pPr>
        <w:numPr>
          <w:ilvl w:val="0"/>
          <w:numId w:val="60"/>
        </w:numPr>
        <w:shd w:val="clear" w:color="auto" w:fill="FFFFFF"/>
        <w:jc w:val="both"/>
        <w:textAlignment w:val="baseline"/>
        <w:rPr>
          <w:rFonts w:ascii="Avenir" w:hAnsi="Avenir" w:cs="Times New Roman"/>
        </w:rPr>
      </w:pPr>
      <w:r w:rsidRPr="00171C2D">
        <w:rPr>
          <w:rFonts w:ascii="Avenir" w:hAnsi="Avenir" w:cs="Times New Roman"/>
        </w:rPr>
        <w:t>Just under 50</w:t>
      </w:r>
      <w:r w:rsidR="009014F3">
        <w:rPr>
          <w:rFonts w:ascii="Avenir" w:hAnsi="Avenir" w:cs="Times New Roman"/>
        </w:rPr>
        <w:t> </w:t>
      </w:r>
      <w:r w:rsidRPr="00171C2D">
        <w:rPr>
          <w:rFonts w:ascii="Avenir" w:hAnsi="Avenir" w:cs="Times New Roman"/>
        </w:rPr>
        <w:t>per cent of total general election spend (</w:t>
      </w:r>
      <w:r w:rsidR="009014F3">
        <w:rPr>
          <w:rFonts w:ascii="Avenir" w:hAnsi="Avenir" w:cs="Times New Roman"/>
        </w:rPr>
        <w:t>GBP </w:t>
      </w:r>
      <w:r w:rsidRPr="00171C2D">
        <w:rPr>
          <w:rFonts w:ascii="Avenir" w:hAnsi="Avenir" w:cs="Times New Roman"/>
        </w:rPr>
        <w:t>21.5 million) was used on the production of campaign materials and, primarily, the printing and distribution of campaign literature.</w:t>
      </w:r>
    </w:p>
    <w:p w14:paraId="7E027B28" w14:textId="66BC39DD" w:rsidR="00B556DE" w:rsidRPr="00171C2D" w:rsidRDefault="000D6BB0">
      <w:pPr>
        <w:numPr>
          <w:ilvl w:val="0"/>
          <w:numId w:val="60"/>
        </w:numPr>
        <w:shd w:val="clear" w:color="auto" w:fill="FFFFFF"/>
        <w:jc w:val="both"/>
        <w:textAlignment w:val="baseline"/>
        <w:rPr>
          <w:rFonts w:ascii="Avenir" w:hAnsi="Avenir" w:cs="Times New Roman"/>
        </w:rPr>
      </w:pPr>
      <w:r w:rsidRPr="00171C2D">
        <w:rPr>
          <w:rFonts w:ascii="Avenir" w:hAnsi="Avenir" w:cs="Times New Roman"/>
        </w:rPr>
        <w:t>Over 50</w:t>
      </w:r>
      <w:r w:rsidR="009014F3">
        <w:rPr>
          <w:rFonts w:ascii="Avenir" w:hAnsi="Avenir" w:cs="Times New Roman"/>
        </w:rPr>
        <w:t> </w:t>
      </w:r>
      <w:r w:rsidRPr="00171C2D">
        <w:rPr>
          <w:rFonts w:ascii="Avenir" w:hAnsi="Avenir" w:cs="Times New Roman"/>
        </w:rPr>
        <w:t>per cent of all advertising spend was on social media ads.</w:t>
      </w:r>
    </w:p>
    <w:p w14:paraId="403BA8A4" w14:textId="70717FE8" w:rsidR="00B556DE" w:rsidRPr="00171C2D" w:rsidRDefault="000D6BB0">
      <w:pPr>
        <w:numPr>
          <w:ilvl w:val="0"/>
          <w:numId w:val="60"/>
        </w:numPr>
        <w:shd w:val="clear" w:color="auto" w:fill="FFFFFF"/>
        <w:jc w:val="both"/>
        <w:textAlignment w:val="baseline"/>
        <w:rPr>
          <w:rFonts w:ascii="Avenir" w:hAnsi="Avenir" w:cs="Times New Roman"/>
        </w:rPr>
      </w:pPr>
      <w:r w:rsidRPr="00171C2D">
        <w:rPr>
          <w:rFonts w:ascii="Avenir" w:hAnsi="Avenir" w:cs="Times New Roman"/>
        </w:rPr>
        <w:t>The vast majority (over 95</w:t>
      </w:r>
      <w:r w:rsidR="009014F3">
        <w:rPr>
          <w:rFonts w:ascii="Avenir" w:hAnsi="Avenir" w:cs="Times New Roman"/>
        </w:rPr>
        <w:t> per cent</w:t>
      </w:r>
      <w:r w:rsidRPr="00171C2D">
        <w:rPr>
          <w:rFonts w:ascii="Avenir" w:hAnsi="Avenir" w:cs="Times New Roman"/>
        </w:rPr>
        <w:t>) of companies only worked with a single party, but those companies that supplied multiple parties commanded the highest fees.</w:t>
      </w:r>
    </w:p>
    <w:p w14:paraId="4BC15FD6" w14:textId="77777777" w:rsidR="00B556DE" w:rsidRPr="00171C2D" w:rsidRDefault="000D6BB0">
      <w:pPr>
        <w:pStyle w:val="NormalWeb"/>
        <w:shd w:val="clear" w:color="auto" w:fill="FFFFFF"/>
        <w:spacing w:beforeAutospacing="0" w:afterAutospacing="0" w:line="276" w:lineRule="auto"/>
        <w:jc w:val="both"/>
        <w:rPr>
          <w:rFonts w:ascii="Avenir" w:hAnsi="Avenir"/>
        </w:rPr>
      </w:pPr>
      <w:r w:rsidRPr="00171C2D">
        <w:rPr>
          <w:rFonts w:ascii="Avenir" w:hAnsi="Avenir"/>
        </w:rPr>
        <w:t> </w:t>
      </w:r>
    </w:p>
    <w:p w14:paraId="548680CA" w14:textId="77777777" w:rsidR="00B556DE" w:rsidRPr="00171C2D" w:rsidRDefault="000D6BB0">
      <w:pPr>
        <w:pStyle w:val="NormalWeb"/>
        <w:shd w:val="clear" w:color="auto" w:fill="FFFFFF"/>
        <w:spacing w:beforeAutospacing="0" w:afterAutospacing="0" w:line="276" w:lineRule="auto"/>
        <w:jc w:val="both"/>
        <w:rPr>
          <w:rFonts w:ascii="Avenir" w:hAnsi="Avenir"/>
        </w:rPr>
      </w:pPr>
      <w:r w:rsidRPr="00171C2D">
        <w:rPr>
          <w:rFonts w:ascii="Avenir" w:hAnsi="Avenir"/>
          <w:lang w:val="en-GB"/>
        </w:rPr>
        <w:t xml:space="preserve">The research also highlighted </w:t>
      </w:r>
      <w:r w:rsidRPr="00171C2D">
        <w:rPr>
          <w:rFonts w:ascii="Avenir" w:hAnsi="Avenir" w:cs="Times New Roman"/>
          <w:lang w:val="en-GB"/>
        </w:rPr>
        <w:t>several</w:t>
      </w:r>
      <w:r w:rsidRPr="00171C2D">
        <w:rPr>
          <w:rFonts w:ascii="Avenir" w:hAnsi="Avenir" w:cs="Times New Roman"/>
        </w:rPr>
        <w:t xml:space="preserve"> transparency deficits:</w:t>
      </w:r>
    </w:p>
    <w:p w14:paraId="47079C60" w14:textId="77777777" w:rsidR="00B556DE" w:rsidRPr="00171C2D" w:rsidRDefault="000D6BB0">
      <w:pPr>
        <w:numPr>
          <w:ilvl w:val="0"/>
          <w:numId w:val="61"/>
        </w:numPr>
        <w:shd w:val="clear" w:color="auto" w:fill="FFFFFF"/>
        <w:jc w:val="both"/>
        <w:textAlignment w:val="baseline"/>
        <w:rPr>
          <w:rFonts w:ascii="Avenir" w:hAnsi="Avenir" w:cs="Times New Roman"/>
        </w:rPr>
      </w:pPr>
      <w:r w:rsidRPr="00171C2D">
        <w:rPr>
          <w:rFonts w:ascii="Avenir" w:hAnsi="Avenir" w:cs="Times New Roman"/>
        </w:rPr>
        <w:t>Over 40 per cent of the suppliers in the database submitted at least one invoice in which the service provided could not be discerned.</w:t>
      </w:r>
    </w:p>
    <w:p w14:paraId="0A06E44C" w14:textId="091E6098" w:rsidR="00B556DE" w:rsidRPr="00171C2D" w:rsidRDefault="000D6BB0">
      <w:pPr>
        <w:numPr>
          <w:ilvl w:val="0"/>
          <w:numId w:val="61"/>
        </w:numPr>
        <w:shd w:val="clear" w:color="auto" w:fill="FFFFFF"/>
        <w:jc w:val="both"/>
        <w:textAlignment w:val="baseline"/>
        <w:rPr>
          <w:rFonts w:ascii="Avenir" w:hAnsi="Avenir" w:cs="Times New Roman"/>
        </w:rPr>
      </w:pPr>
      <w:r w:rsidRPr="00171C2D">
        <w:rPr>
          <w:rFonts w:ascii="Avenir" w:hAnsi="Avenir" w:cs="Times New Roman"/>
        </w:rPr>
        <w:t xml:space="preserve">Approximately 14 per cent of total expenditure (over </w:t>
      </w:r>
      <w:r w:rsidR="009014F3">
        <w:rPr>
          <w:rFonts w:ascii="Avenir" w:hAnsi="Avenir" w:cs="Times New Roman"/>
        </w:rPr>
        <w:t>GBP </w:t>
      </w:r>
      <w:r w:rsidRPr="00171C2D">
        <w:rPr>
          <w:rFonts w:ascii="Avenir" w:hAnsi="Avenir" w:cs="Times New Roman"/>
        </w:rPr>
        <w:t>6.6 million) could not be categorized as it came in the form of unclear invoices.</w:t>
      </w:r>
    </w:p>
    <w:p w14:paraId="4570EDC8" w14:textId="77777777" w:rsidR="00B556DE" w:rsidRPr="00171C2D" w:rsidRDefault="000D6BB0">
      <w:pPr>
        <w:numPr>
          <w:ilvl w:val="0"/>
          <w:numId w:val="61"/>
        </w:numPr>
        <w:shd w:val="clear" w:color="auto" w:fill="FFFFFF"/>
        <w:jc w:val="both"/>
        <w:textAlignment w:val="baseline"/>
        <w:rPr>
          <w:rFonts w:ascii="Avenir" w:hAnsi="Avenir" w:cs="Times New Roman"/>
        </w:rPr>
      </w:pPr>
      <w:r w:rsidRPr="00171C2D">
        <w:rPr>
          <w:rFonts w:ascii="Avenir" w:hAnsi="Avenir" w:cs="Times New Roman"/>
        </w:rPr>
        <w:t>Despite being effectively world leading, the Electoral Commission’s existing classification framework is too broad to capture the diversity of techniques used in modern political campaigns.</w:t>
      </w:r>
    </w:p>
    <w:p w14:paraId="185EF803" w14:textId="72FE02F0" w:rsidR="00B556DE" w:rsidRPr="00171C2D" w:rsidRDefault="00B556DE">
      <w:pPr>
        <w:pStyle w:val="NormalWeb"/>
        <w:shd w:val="clear" w:color="auto" w:fill="FFFFFF"/>
        <w:spacing w:beforeAutospacing="0" w:afterAutospacing="0" w:line="276" w:lineRule="auto"/>
        <w:jc w:val="both"/>
        <w:rPr>
          <w:rFonts w:ascii="Avenir" w:hAnsi="Avenir"/>
        </w:rPr>
      </w:pPr>
    </w:p>
    <w:p w14:paraId="76FD8A0F" w14:textId="17B5E287" w:rsidR="006B710F" w:rsidRPr="00171C2D" w:rsidRDefault="000D6BB0" w:rsidP="00D42BCB">
      <w:pPr>
        <w:pStyle w:val="NormalWeb"/>
        <w:shd w:val="clear" w:color="auto" w:fill="FFFFFF"/>
        <w:spacing w:beforeAutospacing="0" w:afterAutospacing="0" w:line="276" w:lineRule="auto"/>
        <w:jc w:val="both"/>
        <w:rPr>
          <w:rFonts w:ascii="Avenir" w:hAnsi="Avenir" w:cs="Times New Roman"/>
          <w:lang w:val="en-GB"/>
        </w:rPr>
      </w:pPr>
      <w:r w:rsidRPr="00171C2D">
        <w:rPr>
          <w:rFonts w:ascii="Avenir" w:hAnsi="Avenir" w:cs="Times New Roman"/>
        </w:rPr>
        <w:t>Drawing on this research</w:t>
      </w:r>
      <w:r w:rsidRPr="00171C2D">
        <w:rPr>
          <w:rFonts w:ascii="Avenir" w:hAnsi="Avenir" w:cs="Times New Roman"/>
          <w:lang w:val="en-GB"/>
        </w:rPr>
        <w:t xml:space="preserve"> and findings, </w:t>
      </w:r>
      <w:r w:rsidRPr="00171C2D">
        <w:rPr>
          <w:rFonts w:ascii="Avenir" w:eastAsia="Avenir" w:hAnsi="Avenir" w:cs="Avenir"/>
          <w:lang w:val="en-GB"/>
        </w:rPr>
        <w:t xml:space="preserve">this report considers how existing transparency disclosure requirements could be improved to aid understanding of external suppliers and reflects on the suitability of existing declaration categories. </w:t>
      </w:r>
      <w:r w:rsidR="00D309D5" w:rsidRPr="00171C2D">
        <w:rPr>
          <w:rFonts w:ascii="Avenir" w:hAnsi="Avenir" w:cs="Times New Roman"/>
          <w:lang w:val="en-GB"/>
        </w:rPr>
        <w:t>Recommendations</w:t>
      </w:r>
      <w:r w:rsidRPr="00171C2D">
        <w:rPr>
          <w:rFonts w:ascii="Avenir" w:hAnsi="Avenir" w:cs="Times New Roman"/>
        </w:rPr>
        <w:t xml:space="preserve"> </w:t>
      </w:r>
      <w:r w:rsidRPr="00171C2D">
        <w:rPr>
          <w:rFonts w:ascii="Avenir" w:hAnsi="Avenir" w:cs="Times New Roman"/>
          <w:lang w:val="en-GB"/>
        </w:rPr>
        <w:t xml:space="preserve">have been provided </w:t>
      </w:r>
      <w:r w:rsidRPr="00171C2D">
        <w:rPr>
          <w:rFonts w:ascii="Avenir" w:hAnsi="Avenir" w:cs="Times New Roman"/>
        </w:rPr>
        <w:t>for the UK Electoral Commission</w:t>
      </w:r>
      <w:r w:rsidR="00711D91" w:rsidRPr="00171C2D">
        <w:rPr>
          <w:rFonts w:ascii="Avenir" w:hAnsi="Avenir" w:cs="Times New Roman"/>
        </w:rPr>
        <w:t>,</w:t>
      </w:r>
      <w:r w:rsidR="00E80D1A" w:rsidRPr="00171C2D">
        <w:rPr>
          <w:rFonts w:ascii="Avenir" w:hAnsi="Avenir" w:cs="Times New Roman"/>
        </w:rPr>
        <w:t xml:space="preserve"> </w:t>
      </w:r>
      <w:r w:rsidR="009E26A1" w:rsidRPr="00171C2D">
        <w:rPr>
          <w:rFonts w:ascii="Avenir" w:hAnsi="Avenir" w:cs="Times New Roman"/>
        </w:rPr>
        <w:t>which can serve as</w:t>
      </w:r>
      <w:r w:rsidR="00672CFB" w:rsidRPr="00171C2D">
        <w:rPr>
          <w:rFonts w:ascii="Avenir" w:hAnsi="Avenir" w:cs="Times New Roman"/>
        </w:rPr>
        <w:t xml:space="preserve"> lessons learnt for </w:t>
      </w:r>
      <w:r w:rsidR="00171C2D">
        <w:rPr>
          <w:rFonts w:ascii="Avenir" w:hAnsi="Avenir" w:cs="Times New Roman"/>
        </w:rPr>
        <w:t>e</w:t>
      </w:r>
      <w:r w:rsidRPr="00171C2D">
        <w:rPr>
          <w:rFonts w:ascii="Avenir" w:hAnsi="Avenir" w:cs="Times New Roman"/>
        </w:rPr>
        <w:t xml:space="preserve">lectoral </w:t>
      </w:r>
      <w:r w:rsidR="00171C2D">
        <w:rPr>
          <w:rFonts w:ascii="Avenir" w:hAnsi="Avenir" w:cs="Times New Roman"/>
        </w:rPr>
        <w:t>m</w:t>
      </w:r>
      <w:r w:rsidRPr="00171C2D">
        <w:rPr>
          <w:rFonts w:ascii="Avenir" w:hAnsi="Avenir" w:cs="Times New Roman"/>
        </w:rPr>
        <w:t xml:space="preserve">anagement </w:t>
      </w:r>
      <w:r w:rsidR="00171C2D">
        <w:rPr>
          <w:rFonts w:ascii="Avenir" w:hAnsi="Avenir" w:cs="Times New Roman"/>
        </w:rPr>
        <w:t>b</w:t>
      </w:r>
      <w:r w:rsidRPr="00171C2D">
        <w:rPr>
          <w:rFonts w:ascii="Avenir" w:hAnsi="Avenir" w:cs="Times New Roman"/>
        </w:rPr>
        <w:t>odies (EMBs)</w:t>
      </w:r>
      <w:r w:rsidR="00BE1A3F" w:rsidRPr="00171C2D">
        <w:rPr>
          <w:rFonts w:ascii="Avenir" w:hAnsi="Avenir" w:cs="Times New Roman"/>
        </w:rPr>
        <w:t xml:space="preserve"> outside of the</w:t>
      </w:r>
      <w:r w:rsidR="00E80D1A" w:rsidRPr="00171C2D">
        <w:rPr>
          <w:rFonts w:ascii="Avenir" w:hAnsi="Avenir" w:cs="Times New Roman"/>
        </w:rPr>
        <w:t xml:space="preserve"> UK</w:t>
      </w:r>
      <w:r w:rsidR="00672CFB" w:rsidRPr="00171C2D">
        <w:rPr>
          <w:rFonts w:ascii="Avenir" w:hAnsi="Avenir" w:cs="Times New Roman"/>
        </w:rPr>
        <w:t>. Additionally, recommendations have been provided for political parties</w:t>
      </w:r>
      <w:r w:rsidRPr="00171C2D">
        <w:rPr>
          <w:rFonts w:ascii="Avenir" w:hAnsi="Avenir" w:cs="Times New Roman"/>
        </w:rPr>
        <w:t xml:space="preserve"> and </w:t>
      </w:r>
      <w:r w:rsidR="00171C2D">
        <w:rPr>
          <w:rFonts w:ascii="Avenir" w:hAnsi="Avenir" w:cs="Times New Roman"/>
        </w:rPr>
        <w:t>c</w:t>
      </w:r>
      <w:r w:rsidRPr="00171C2D">
        <w:rPr>
          <w:rFonts w:ascii="Avenir" w:hAnsi="Avenir" w:cs="Times New Roman"/>
        </w:rPr>
        <w:t xml:space="preserve">ivil </w:t>
      </w:r>
      <w:r w:rsidR="00171C2D">
        <w:rPr>
          <w:rFonts w:ascii="Avenir" w:hAnsi="Avenir" w:cs="Times New Roman"/>
        </w:rPr>
        <w:t>s</w:t>
      </w:r>
      <w:r w:rsidRPr="00171C2D">
        <w:rPr>
          <w:rFonts w:ascii="Avenir" w:hAnsi="Avenir" w:cs="Times New Roman"/>
        </w:rPr>
        <w:t xml:space="preserve">ociety </w:t>
      </w:r>
      <w:r w:rsidR="00171C2D">
        <w:rPr>
          <w:rFonts w:ascii="Avenir" w:hAnsi="Avenir" w:cs="Times New Roman"/>
        </w:rPr>
        <w:t>o</w:t>
      </w:r>
      <w:r w:rsidRPr="00171C2D">
        <w:rPr>
          <w:rFonts w:ascii="Avenir" w:hAnsi="Avenir" w:cs="Times New Roman"/>
        </w:rPr>
        <w:t>rgani</w:t>
      </w:r>
      <w:r w:rsidR="00171C2D">
        <w:rPr>
          <w:rFonts w:ascii="Avenir" w:hAnsi="Avenir" w:cs="Times New Roman"/>
        </w:rPr>
        <w:t>z</w:t>
      </w:r>
      <w:r w:rsidRPr="00171C2D">
        <w:rPr>
          <w:rFonts w:ascii="Avenir" w:hAnsi="Avenir" w:cs="Times New Roman"/>
        </w:rPr>
        <w:t>ations</w:t>
      </w:r>
      <w:r w:rsidRPr="00171C2D">
        <w:rPr>
          <w:rFonts w:ascii="Avenir" w:hAnsi="Avenir" w:cs="Times New Roman"/>
          <w:lang w:val="en-GB"/>
        </w:rPr>
        <w:t xml:space="preserve"> (CSOs)</w:t>
      </w:r>
      <w:r w:rsidRPr="00171C2D">
        <w:rPr>
          <w:rFonts w:ascii="Avenir" w:hAnsi="Avenir" w:cs="Times New Roman"/>
        </w:rPr>
        <w:t xml:space="preserve"> working in developed and developing democracies alike</w:t>
      </w:r>
      <w:r w:rsidRPr="00171C2D">
        <w:rPr>
          <w:rFonts w:ascii="Avenir" w:hAnsi="Avenir" w:cs="Times New Roman"/>
          <w:lang w:val="en-GB"/>
        </w:rPr>
        <w:t>.</w:t>
      </w:r>
      <w:r w:rsidR="00711D91" w:rsidRPr="00171C2D">
        <w:rPr>
          <w:rFonts w:ascii="Avenir" w:hAnsi="Avenir" w:cs="Times New Roman"/>
          <w:lang w:val="en-GB"/>
        </w:rPr>
        <w:t xml:space="preserve"> </w:t>
      </w:r>
    </w:p>
    <w:p w14:paraId="2C785EF2" w14:textId="48A181CE" w:rsidR="00B556DE" w:rsidRPr="00171C2D" w:rsidRDefault="000D6BB0">
      <w:pPr>
        <w:pStyle w:val="Heading2"/>
        <w:numPr>
          <w:ilvl w:val="0"/>
          <w:numId w:val="0"/>
        </w:numPr>
        <w:ind w:left="720"/>
        <w:rPr>
          <w:lang w:val="en-GB"/>
        </w:rPr>
      </w:pPr>
      <w:r w:rsidRPr="00171C2D">
        <w:rPr>
          <w:lang w:val="en-GB"/>
        </w:rPr>
        <w:lastRenderedPageBreak/>
        <w:t>Introduction</w:t>
      </w:r>
    </w:p>
    <w:p w14:paraId="20DF2902" w14:textId="2CF39DD1"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Election campaigns are central to modern democracy. At these moments, political parties and campaigners devote significant energy to maximizing support, and citizens exercise choice over who holds power. Despite the importance of elections, there are many aspects of current practice that little is known about. This report focuses on the role played by </w:t>
      </w:r>
      <w:r w:rsidR="000A1C13" w:rsidRPr="00171C2D">
        <w:rPr>
          <w:rFonts w:ascii="Avenir" w:eastAsia="Avenir" w:hAnsi="Avenir" w:cs="Avenir"/>
          <w:lang w:val="en-GB"/>
        </w:rPr>
        <w:t>companies</w:t>
      </w:r>
      <w:r w:rsidR="00FB6D39" w:rsidRPr="00171C2D">
        <w:rPr>
          <w:rFonts w:ascii="Avenir" w:eastAsia="Avenir" w:hAnsi="Avenir" w:cs="Avenir"/>
          <w:lang w:val="en-GB"/>
        </w:rPr>
        <w:t xml:space="preserve"> and other external </w:t>
      </w:r>
      <w:r w:rsidR="00847142">
        <w:rPr>
          <w:rFonts w:ascii="Avenir" w:eastAsia="Avenir" w:hAnsi="Avenir" w:cs="Avenir"/>
          <w:lang w:val="en-GB"/>
        </w:rPr>
        <w:t>organization</w:t>
      </w:r>
      <w:r w:rsidR="00FB6D39" w:rsidRPr="00171C2D">
        <w:rPr>
          <w:rFonts w:ascii="Avenir" w:eastAsia="Avenir" w:hAnsi="Avenir" w:cs="Avenir"/>
          <w:lang w:val="en-GB"/>
        </w:rPr>
        <w:t xml:space="preserve">s </w:t>
      </w:r>
      <w:r w:rsidRPr="00171C2D">
        <w:rPr>
          <w:rFonts w:ascii="Avenir" w:eastAsia="Avenir" w:hAnsi="Avenir" w:cs="Avenir"/>
          <w:lang w:val="en-GB"/>
        </w:rPr>
        <w:t xml:space="preserve">providing services to parties in election campaigns. Although they have long been a component of the electoral landscape, suppliers of election services have recently become a focus of interest as evidence of potentially duplicitous practice has arisen. Highlighted by the case of Cambridge Analytica, questions have emerged about who is active within election campaigns and what services they provide. In particular, these questions have focused on the support external </w:t>
      </w:r>
      <w:r w:rsidR="000A1C13" w:rsidRPr="00171C2D">
        <w:rPr>
          <w:rFonts w:ascii="Avenir" w:eastAsia="Avenir" w:hAnsi="Avenir" w:cs="Avenir"/>
          <w:lang w:val="en-GB"/>
        </w:rPr>
        <w:t xml:space="preserve">companies </w:t>
      </w:r>
      <w:r w:rsidR="00FB6D39" w:rsidRPr="00171C2D">
        <w:rPr>
          <w:rFonts w:ascii="Avenir" w:eastAsia="Avenir" w:hAnsi="Avenir" w:cs="Avenir"/>
          <w:lang w:val="en-GB"/>
        </w:rPr>
        <w:t xml:space="preserve">and external </w:t>
      </w:r>
      <w:r w:rsidR="00847142">
        <w:rPr>
          <w:rFonts w:ascii="Avenir" w:eastAsia="Avenir" w:hAnsi="Avenir" w:cs="Avenir"/>
          <w:lang w:val="en-GB"/>
        </w:rPr>
        <w:t>organization</w:t>
      </w:r>
      <w:r w:rsidR="00FB6D39" w:rsidRPr="00171C2D">
        <w:rPr>
          <w:rFonts w:ascii="Avenir" w:eastAsia="Avenir" w:hAnsi="Avenir" w:cs="Avenir"/>
          <w:lang w:val="en-GB"/>
        </w:rPr>
        <w:t xml:space="preserve">s </w:t>
      </w:r>
      <w:r w:rsidRPr="00171C2D">
        <w:rPr>
          <w:rFonts w:ascii="Avenir" w:eastAsia="Avenir" w:hAnsi="Avenir" w:cs="Avenir"/>
          <w:lang w:val="en-GB"/>
        </w:rPr>
        <w:t xml:space="preserve">give political parties in relation to the use of digital technology (Dommett et al. </w:t>
      </w:r>
      <w:hyperlink r:id="rId16">
        <w:r w:rsidRPr="00171C2D">
          <w:rPr>
            <w:rFonts w:ascii="Avenir" w:eastAsia="Avenir" w:hAnsi="Avenir" w:cs="Avenir"/>
            <w:lang w:val="en-GB"/>
          </w:rPr>
          <w:t>2021</w:t>
        </w:r>
      </w:hyperlink>
      <w:r w:rsidRPr="00171C2D">
        <w:rPr>
          <w:rFonts w:ascii="Avenir" w:eastAsia="Avenir" w:hAnsi="Avenir" w:cs="Avenir"/>
          <w:lang w:val="en-GB"/>
        </w:rPr>
        <w:t xml:space="preserve">), with evidence that at least 500 companies internationally are offering data services to parties (Macintyre 2018, 2021). </w:t>
      </w:r>
      <w:proofErr w:type="gramStart"/>
      <w:r w:rsidRPr="00171C2D">
        <w:rPr>
          <w:rFonts w:ascii="Avenir" w:eastAsia="Avenir" w:hAnsi="Avenir" w:cs="Avenir"/>
          <w:lang w:val="en-GB"/>
        </w:rPr>
        <w:t>In spite of</w:t>
      </w:r>
      <w:proofErr w:type="gramEnd"/>
      <w:r w:rsidRPr="00171C2D">
        <w:rPr>
          <w:rFonts w:ascii="Avenir" w:eastAsia="Avenir" w:hAnsi="Avenir" w:cs="Avenir"/>
          <w:lang w:val="en-GB"/>
        </w:rPr>
        <w:t xml:space="preserve"> this interest, to date there is little understanding of these organizations and minimal evidence on which to judge whether the services they provide are problematic. </w:t>
      </w:r>
    </w:p>
    <w:p w14:paraId="2C34E2F5" w14:textId="77777777" w:rsidR="00B556DE" w:rsidRPr="00171C2D" w:rsidRDefault="00B556DE">
      <w:pPr>
        <w:jc w:val="both"/>
        <w:rPr>
          <w:rFonts w:ascii="Avenir" w:eastAsia="Avenir" w:hAnsi="Avenir" w:cs="Avenir"/>
          <w:lang w:val="en-GB"/>
        </w:rPr>
      </w:pPr>
    </w:p>
    <w:p w14:paraId="434E8588" w14:textId="41BA980A" w:rsidR="006B710F" w:rsidRPr="00171C2D" w:rsidRDefault="000D6BB0">
      <w:pPr>
        <w:jc w:val="both"/>
        <w:rPr>
          <w:rFonts w:ascii="Avenir" w:eastAsia="Avenir" w:hAnsi="Avenir" w:cs="Avenir"/>
          <w:lang w:val="en-GB"/>
        </w:rPr>
      </w:pPr>
      <w:r w:rsidRPr="00171C2D">
        <w:rPr>
          <w:rFonts w:ascii="Avenir" w:eastAsia="Avenir" w:hAnsi="Avenir" w:cs="Avenir"/>
          <w:lang w:val="en-GB"/>
        </w:rPr>
        <w:t xml:space="preserve">This research set out to understand more about the organizations that work with parties in election campaigns specifically in the UK context. The analysis offers new empirical insight into the role played by suppliers, detailing the work conducted by these organizations and the money expended on them. Exploring available information within financial transparency disclosures made to the UK Electoral Commission, the research also aims to draw lessons for policymakers, </w:t>
      </w:r>
      <w:r w:rsidR="00840BF5" w:rsidRPr="00171C2D">
        <w:rPr>
          <w:rFonts w:ascii="Avenir" w:eastAsia="Avenir" w:hAnsi="Avenir" w:cs="Avenir"/>
          <w:lang w:val="en-GB"/>
        </w:rPr>
        <w:t>regulators,</w:t>
      </w:r>
      <w:r w:rsidRPr="00171C2D">
        <w:rPr>
          <w:rFonts w:ascii="Avenir" w:eastAsia="Avenir" w:hAnsi="Avenir" w:cs="Avenir"/>
          <w:lang w:val="en-GB"/>
        </w:rPr>
        <w:t xml:space="preserve"> and CSOs to specifically promote increased transparency. Recommendations are directly made for the UK Electoral Commission</w:t>
      </w:r>
      <w:r w:rsidR="00B164B9" w:rsidRPr="00171C2D">
        <w:rPr>
          <w:rFonts w:ascii="Avenir" w:eastAsia="Avenir" w:hAnsi="Avenir" w:cs="Avenir"/>
          <w:lang w:val="en-GB"/>
        </w:rPr>
        <w:t>,</w:t>
      </w:r>
      <w:r w:rsidR="00291A8F" w:rsidRPr="00171C2D">
        <w:rPr>
          <w:rFonts w:ascii="Avenir" w:eastAsia="Avenir" w:hAnsi="Avenir" w:cs="Avenir"/>
          <w:lang w:val="en-GB"/>
        </w:rPr>
        <w:t xml:space="preserve"> which can also be applicable for </w:t>
      </w:r>
      <w:r w:rsidR="00840BF5" w:rsidRPr="00171C2D">
        <w:rPr>
          <w:rFonts w:ascii="Avenir" w:eastAsia="Avenir" w:hAnsi="Avenir" w:cs="Avenir"/>
          <w:lang w:val="en-GB"/>
        </w:rPr>
        <w:t>EMBs and oversight agencies outside of the UK</w:t>
      </w:r>
      <w:r w:rsidR="00EA6AB6" w:rsidRPr="00171C2D">
        <w:rPr>
          <w:rFonts w:ascii="Avenir" w:eastAsia="Avenir" w:hAnsi="Avenir" w:cs="Avenir"/>
          <w:lang w:val="en-GB"/>
        </w:rPr>
        <w:t>.</w:t>
      </w:r>
    </w:p>
    <w:p w14:paraId="321F7DFC" w14:textId="77777777" w:rsidR="00B556DE" w:rsidRPr="00171C2D" w:rsidRDefault="00B556DE">
      <w:pPr>
        <w:jc w:val="both"/>
        <w:rPr>
          <w:rFonts w:ascii="Avenir" w:eastAsia="Avenir" w:hAnsi="Avenir" w:cs="Avenir"/>
          <w:lang w:val="en-GB"/>
        </w:rPr>
      </w:pPr>
    </w:p>
    <w:p w14:paraId="7D30EF88" w14:textId="50E0E281" w:rsidR="00B556DE" w:rsidRPr="00171C2D" w:rsidRDefault="000D6BB0">
      <w:pPr>
        <w:jc w:val="both"/>
        <w:rPr>
          <w:rFonts w:ascii="Avenir" w:eastAsia="Avenir" w:hAnsi="Avenir" w:cs="Avenir"/>
          <w:lang w:val="en-GB"/>
        </w:rPr>
      </w:pPr>
      <w:r w:rsidRPr="00171C2D">
        <w:rPr>
          <w:rFonts w:ascii="Avenir" w:eastAsia="Avenir" w:hAnsi="Avenir" w:cs="Avenir"/>
          <w:lang w:val="en-GB"/>
        </w:rPr>
        <w:t>The principle of transparency is well established in guiding the regulation of elections. Indeed, while a system will never be perfectly transparent, it is generally agreed that transparency itself is the ‘most important requirement’ in attempting to regulate political financing (</w:t>
      </w:r>
      <w:proofErr w:type="spellStart"/>
      <w:r w:rsidRPr="00171C2D">
        <w:rPr>
          <w:rFonts w:ascii="Avenir" w:eastAsia="Avenir" w:hAnsi="Avenir" w:cs="Avenir"/>
          <w:lang w:val="en-GB"/>
        </w:rPr>
        <w:t>Nassmacher</w:t>
      </w:r>
      <w:proofErr w:type="spellEnd"/>
      <w:r w:rsidRPr="00171C2D">
        <w:rPr>
          <w:rFonts w:ascii="Avenir" w:eastAsia="Avenir" w:hAnsi="Avenir" w:cs="Avenir"/>
          <w:lang w:val="en-GB"/>
        </w:rPr>
        <w:t xml:space="preserve"> 2003: 139). Most countries around the world have </w:t>
      </w:r>
      <w:proofErr w:type="gramStart"/>
      <w:r w:rsidRPr="00171C2D">
        <w:rPr>
          <w:rFonts w:ascii="Avenir" w:eastAsia="Avenir" w:hAnsi="Avenir" w:cs="Avenir"/>
          <w:lang w:val="en-GB"/>
        </w:rPr>
        <w:t>some kind of disclosure</w:t>
      </w:r>
      <w:proofErr w:type="gramEnd"/>
      <w:r w:rsidRPr="00171C2D">
        <w:rPr>
          <w:rFonts w:ascii="Avenir" w:eastAsia="Avenir" w:hAnsi="Avenir" w:cs="Avenir"/>
          <w:lang w:val="en-GB"/>
        </w:rPr>
        <w:t xml:space="preserve"> regime: 62.2 per</w:t>
      </w:r>
      <w:r w:rsidR="00171C2D">
        <w:rPr>
          <w:rFonts w:ascii="Avenir" w:eastAsia="Avenir" w:hAnsi="Avenir" w:cs="Avenir"/>
          <w:lang w:val="en-GB"/>
        </w:rPr>
        <w:t xml:space="preserve"> </w:t>
      </w:r>
      <w:r w:rsidRPr="00171C2D">
        <w:rPr>
          <w:rFonts w:ascii="Avenir" w:eastAsia="Avenir" w:hAnsi="Avenir" w:cs="Avenir"/>
          <w:lang w:val="en-GB"/>
        </w:rPr>
        <w:t xml:space="preserve">cent of countries require financial reports from parties/candidates to be made available to </w:t>
      </w:r>
      <w:r w:rsidR="00DF6203" w:rsidRPr="00171C2D">
        <w:rPr>
          <w:rFonts w:ascii="Avenir" w:eastAsia="Avenir" w:hAnsi="Avenir" w:cs="Avenir"/>
          <w:lang w:val="en-GB"/>
        </w:rPr>
        <w:t xml:space="preserve">the </w:t>
      </w:r>
      <w:r w:rsidRPr="00171C2D">
        <w:rPr>
          <w:rFonts w:ascii="Avenir" w:eastAsia="Avenir" w:hAnsi="Avenir" w:cs="Avenir"/>
          <w:lang w:val="en-GB"/>
        </w:rPr>
        <w:t xml:space="preserve">public, in Europe this figure jumps to 95.5 per cent (International IDEA n.d.). The level of transparency, however, varies. In some countries, reports are made public (sometimes in near-real time), </w:t>
      </w:r>
      <w:r w:rsidR="00DF6203" w:rsidRPr="00171C2D">
        <w:rPr>
          <w:rFonts w:ascii="Avenir" w:eastAsia="Avenir" w:hAnsi="Avenir" w:cs="Avenir"/>
          <w:lang w:val="en-GB"/>
        </w:rPr>
        <w:t xml:space="preserve">but </w:t>
      </w:r>
      <w:r w:rsidRPr="00171C2D">
        <w:rPr>
          <w:rFonts w:ascii="Avenir" w:eastAsia="Avenir" w:hAnsi="Avenir" w:cs="Avenir"/>
          <w:lang w:val="en-GB"/>
        </w:rPr>
        <w:t>in others they are difficult to access. Comparatively,</w:t>
      </w:r>
      <w:r w:rsidRPr="00171C2D">
        <w:rPr>
          <w:rFonts w:ascii="Avenir" w:eastAsia="Avenir" w:hAnsi="Avenir" w:cs="Avenir"/>
          <w:highlight w:val="white"/>
          <w:lang w:val="en-GB"/>
        </w:rPr>
        <w:t xml:space="preserve"> the UK is a little slower to disclose election returns than institutionally similar countries (CSPL 2021: 81). In the UK, the biggest spenders at elections have six months to supply returns to the Electoral Commission, which compares with monthly disclosure requirements during election periods in the United States, 56 days in Ireland, 10 weeks in France, and 70–90 days in New Zealand. Despite the length of time before spending must be reported, the UK Electoral Commission’s ‘political finance database’</w:t>
      </w:r>
      <w:r w:rsidRPr="00171C2D">
        <w:rPr>
          <w:rFonts w:ascii="Avenir" w:eastAsia="Avenir" w:hAnsi="Avenir" w:cs="Avenir"/>
          <w:lang w:val="en-GB"/>
        </w:rPr>
        <w:t xml:space="preserve"> is ‘effectively world leading at this point’ because of the insights it contains (Power 2020a: 132). By examining the effectiveness of the UK’s financial database for providing transparency on the role of private companies in elections, this report will draw out some lessons learnt for what works and what doesn’t, which could also be applicable to other international political finance oversight bodies</w:t>
      </w:r>
    </w:p>
    <w:p w14:paraId="59621D14" w14:textId="77777777" w:rsidR="00B556DE" w:rsidRPr="00171C2D" w:rsidRDefault="00B556DE">
      <w:pPr>
        <w:jc w:val="both"/>
        <w:rPr>
          <w:rFonts w:ascii="Avenir" w:eastAsia="Avenir" w:hAnsi="Avenir" w:cs="Avenir"/>
          <w:lang w:val="en-GB"/>
        </w:rPr>
      </w:pPr>
    </w:p>
    <w:p w14:paraId="24027F07" w14:textId="0BC64D1F"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While transparency is an established principle in the UK, electoral regulators have argued that the existing system of disclosure is not fit for purpose. Particularly around the rise in digital campaigning, the UK Electoral Commission, for example, argued in 2015 that expenditure reporting categories needed to be reviewed ‘to ensure that they remain proportionate and relevant to future trends in campaigning’ (Electoral Commission 2016a: 8). More recently, the Electoral Commission (2018: 12) also recommended that policymakers should ‘make campaigners sub-divide their spending returns into different types of spending. These categories should give more information about the money spent on digital </w:t>
      </w:r>
      <w:r w:rsidR="00E127B9" w:rsidRPr="00171C2D">
        <w:rPr>
          <w:rFonts w:ascii="Avenir" w:eastAsia="Avenir" w:hAnsi="Avenir" w:cs="Avenir"/>
          <w:lang w:val="en-GB"/>
        </w:rPr>
        <w:t>campaigns´</w:t>
      </w:r>
      <w:r w:rsidRPr="00171C2D">
        <w:rPr>
          <w:rFonts w:ascii="Avenir" w:eastAsia="Avenir" w:hAnsi="Avenir" w:cs="Avenir"/>
          <w:lang w:val="en-GB"/>
        </w:rPr>
        <w:t>. Similarly, in the USA—another example of a reporting system that is used to demonstrate best practice in transparency—there have been repeated calls for improvements in their database. Experts have suggested that a ‘more effective disclosure regime would allow voters to use the FEC’s [Federal Election Commission] website to explore the vectors of political influence’ (Shaw, 2018: 169). In the context of debates around election suppliers, this report considers how existing transparency disclosure requirements could be improved to aid understanding of these organizations. It also reflects on the suitability of existing declaration categories within transparency returns.</w:t>
      </w:r>
      <w:r w:rsidR="009014F3">
        <w:rPr>
          <w:rFonts w:ascii="Avenir" w:eastAsia="Avenir" w:hAnsi="Avenir" w:cs="Avenir"/>
          <w:lang w:val="en-GB"/>
        </w:rPr>
        <w:t xml:space="preserve"> </w:t>
      </w:r>
    </w:p>
    <w:p w14:paraId="0ED00590" w14:textId="77777777" w:rsidR="00B556DE" w:rsidRPr="00171C2D" w:rsidRDefault="00B556DE">
      <w:pPr>
        <w:jc w:val="both"/>
        <w:rPr>
          <w:rFonts w:ascii="Avenir" w:eastAsia="Avenir" w:hAnsi="Avenir" w:cs="Avenir"/>
          <w:u w:val="single"/>
          <w:lang w:val="en-GB"/>
        </w:rPr>
      </w:pPr>
    </w:p>
    <w:p w14:paraId="5E9A5120" w14:textId="6CFC74CA" w:rsidR="00433AF2" w:rsidRDefault="00433AF2" w:rsidP="00433AF2">
      <w:pPr>
        <w:pStyle w:val="Heading2"/>
        <w:numPr>
          <w:ilvl w:val="0"/>
          <w:numId w:val="0"/>
        </w:numPr>
        <w:ind w:left="360"/>
        <w:rPr>
          <w:lang w:val="en-GB"/>
        </w:rPr>
      </w:pPr>
      <w:r>
        <w:rPr>
          <w:lang w:val="en-GB"/>
        </w:rPr>
        <w:t>Chapter 1</w:t>
      </w:r>
    </w:p>
    <w:p w14:paraId="5D722CDE" w14:textId="4F4D2BE8" w:rsidR="00B556DE" w:rsidRPr="00171C2D" w:rsidRDefault="000D6BB0" w:rsidP="00433AF2">
      <w:pPr>
        <w:pStyle w:val="Heading2"/>
        <w:numPr>
          <w:ilvl w:val="0"/>
          <w:numId w:val="0"/>
        </w:numPr>
        <w:ind w:left="360"/>
        <w:rPr>
          <w:lang w:val="en-GB"/>
        </w:rPr>
      </w:pPr>
      <w:r w:rsidRPr="00171C2D">
        <w:rPr>
          <w:lang w:val="en-GB"/>
        </w:rPr>
        <w:t>Overview of the current political landscape in the UK</w:t>
      </w:r>
    </w:p>
    <w:p w14:paraId="00302C66" w14:textId="381EB0A8" w:rsidR="00B556DE" w:rsidRPr="00171C2D" w:rsidRDefault="000D6BB0">
      <w:pPr>
        <w:jc w:val="both"/>
        <w:rPr>
          <w:rFonts w:ascii="Avenir" w:eastAsia="Avenir" w:hAnsi="Avenir" w:cs="Avenir"/>
          <w:highlight w:val="white"/>
          <w:lang w:val="en-GB"/>
        </w:rPr>
      </w:pPr>
      <w:r w:rsidRPr="00171C2D">
        <w:rPr>
          <w:rFonts w:ascii="Avenir" w:eastAsia="Avenir" w:hAnsi="Avenir" w:cs="Avenir"/>
          <w:highlight w:val="white"/>
          <w:lang w:val="en-GB"/>
        </w:rPr>
        <w:t>UK national politics is dominated by two political parties: the Conservative</w:t>
      </w:r>
      <w:r w:rsidR="00DF6203" w:rsidRPr="00171C2D">
        <w:rPr>
          <w:rFonts w:ascii="Avenir" w:eastAsia="Avenir" w:hAnsi="Avenir" w:cs="Avenir"/>
          <w:highlight w:val="white"/>
          <w:lang w:val="en-GB"/>
        </w:rPr>
        <w:t>s</w:t>
      </w:r>
      <w:r w:rsidRPr="00171C2D">
        <w:rPr>
          <w:rFonts w:ascii="Avenir" w:eastAsia="Avenir" w:hAnsi="Avenir" w:cs="Avenir"/>
          <w:highlight w:val="white"/>
          <w:lang w:val="en-GB"/>
        </w:rPr>
        <w:t xml:space="preserve"> and Labour, who have </w:t>
      </w:r>
      <w:r w:rsidR="00DF6203" w:rsidRPr="00171C2D">
        <w:rPr>
          <w:rFonts w:ascii="Avenir" w:eastAsia="Avenir" w:hAnsi="Avenir" w:cs="Avenir"/>
          <w:highlight w:val="white"/>
          <w:lang w:val="en-GB"/>
        </w:rPr>
        <w:t xml:space="preserve">largely </w:t>
      </w:r>
      <w:r w:rsidRPr="00171C2D">
        <w:rPr>
          <w:rFonts w:ascii="Avenir" w:eastAsia="Avenir" w:hAnsi="Avenir" w:cs="Avenir"/>
          <w:highlight w:val="white"/>
          <w:lang w:val="en-GB"/>
        </w:rPr>
        <w:t>alternated as the</w:t>
      </w:r>
      <w:r w:rsidR="00D524E7" w:rsidRPr="00171C2D">
        <w:rPr>
          <w:rFonts w:ascii="Avenir" w:eastAsia="Avenir" w:hAnsi="Avenir" w:cs="Avenir"/>
          <w:highlight w:val="white"/>
          <w:lang w:val="en-GB"/>
        </w:rPr>
        <w:t xml:space="preserve"> single</w:t>
      </w:r>
      <w:r w:rsidRPr="00171C2D">
        <w:rPr>
          <w:rFonts w:ascii="Avenir" w:eastAsia="Avenir" w:hAnsi="Avenir" w:cs="Avenir"/>
          <w:highlight w:val="white"/>
          <w:lang w:val="en-GB"/>
        </w:rPr>
        <w:t xml:space="preserve"> party of government in the post-war period.</w:t>
      </w:r>
      <w:r w:rsidRPr="00171C2D">
        <w:rPr>
          <w:rStyle w:val="FootnoteAnchor"/>
          <w:rFonts w:ascii="Avenir" w:eastAsia="Avenir" w:hAnsi="Avenir" w:cs="Avenir"/>
          <w:highlight w:val="white"/>
          <w:lang w:val="en-GB"/>
        </w:rPr>
        <w:footnoteReference w:id="1"/>
      </w:r>
      <w:r w:rsidRPr="00171C2D">
        <w:rPr>
          <w:rFonts w:ascii="Avenir" w:eastAsia="Avenir" w:hAnsi="Avenir" w:cs="Avenir"/>
          <w:highlight w:val="white"/>
          <w:lang w:val="en-GB"/>
        </w:rPr>
        <w:t xml:space="preserve"> While the UK system is often explained as exhibiting ‘two-party politics’, </w:t>
      </w:r>
      <w:proofErr w:type="gramStart"/>
      <w:r w:rsidRPr="00171C2D">
        <w:rPr>
          <w:rFonts w:ascii="Avenir" w:eastAsia="Avenir" w:hAnsi="Avenir" w:cs="Avenir"/>
          <w:highlight w:val="white"/>
          <w:lang w:val="en-GB"/>
        </w:rPr>
        <w:t>Webb</w:t>
      </w:r>
      <w:proofErr w:type="gramEnd"/>
      <w:r w:rsidRPr="00171C2D">
        <w:rPr>
          <w:rFonts w:ascii="Avenir" w:eastAsia="Avenir" w:hAnsi="Avenir" w:cs="Avenir"/>
          <w:highlight w:val="white"/>
          <w:lang w:val="en-GB"/>
        </w:rPr>
        <w:t xml:space="preserve"> and Bale (2021: 15) instead describe it as exhibiting ‘moderate multipartyism’. This term captures the way in which the first-past-the-post voting system helps sustain the dominance of the two largest parties in terms of seats in the House of Commons, while </w:t>
      </w:r>
      <w:r w:rsidR="00D524E7" w:rsidRPr="00171C2D">
        <w:rPr>
          <w:rFonts w:ascii="Avenir" w:eastAsia="Avenir" w:hAnsi="Avenir" w:cs="Avenir"/>
          <w:highlight w:val="white"/>
          <w:lang w:val="en-GB"/>
        </w:rPr>
        <w:t xml:space="preserve">also </w:t>
      </w:r>
      <w:r w:rsidRPr="00171C2D">
        <w:rPr>
          <w:rFonts w:ascii="Avenir" w:eastAsia="Avenir" w:hAnsi="Avenir" w:cs="Avenir"/>
          <w:highlight w:val="white"/>
          <w:lang w:val="en-GB"/>
        </w:rPr>
        <w:t>recognizing the relatively strong position of a wider range of smaller parties in terms of vote share or</w:t>
      </w:r>
      <w:r w:rsidR="00D524E7" w:rsidRPr="00171C2D">
        <w:rPr>
          <w:rFonts w:ascii="Avenir" w:eastAsia="Avenir" w:hAnsi="Avenir" w:cs="Avenir"/>
          <w:highlight w:val="white"/>
          <w:lang w:val="en-GB"/>
        </w:rPr>
        <w:t xml:space="preserve"> localized</w:t>
      </w:r>
      <w:r w:rsidRPr="00171C2D">
        <w:rPr>
          <w:rFonts w:ascii="Avenir" w:eastAsia="Avenir" w:hAnsi="Avenir" w:cs="Avenir"/>
          <w:highlight w:val="white"/>
          <w:lang w:val="en-GB"/>
        </w:rPr>
        <w:t xml:space="preserve"> electoral success. </w:t>
      </w:r>
    </w:p>
    <w:p w14:paraId="5324002C" w14:textId="77777777" w:rsidR="00B556DE" w:rsidRPr="00171C2D" w:rsidRDefault="00B556DE">
      <w:pPr>
        <w:jc w:val="both"/>
        <w:rPr>
          <w:rFonts w:ascii="Avenir" w:eastAsia="Avenir" w:hAnsi="Avenir" w:cs="Avenir"/>
          <w:highlight w:val="white"/>
          <w:lang w:val="en-GB"/>
        </w:rPr>
      </w:pPr>
    </w:p>
    <w:p w14:paraId="27277DE4" w14:textId="47897006" w:rsidR="00B556DE" w:rsidRPr="00171C2D" w:rsidRDefault="000D6BB0">
      <w:pPr>
        <w:jc w:val="both"/>
        <w:rPr>
          <w:rFonts w:ascii="Avenir" w:eastAsia="Avenir" w:hAnsi="Avenir" w:cs="Avenir"/>
          <w:highlight w:val="white"/>
          <w:lang w:val="en-GB"/>
        </w:rPr>
      </w:pPr>
      <w:r w:rsidRPr="00171C2D">
        <w:rPr>
          <w:rFonts w:ascii="Avenir" w:eastAsia="Avenir" w:hAnsi="Avenir" w:cs="Avenir"/>
          <w:highlight w:val="white"/>
          <w:lang w:val="en-GB"/>
        </w:rPr>
        <w:t xml:space="preserve">In total, 33 parties gained more than 1,500 votes each at the 2019 General Election (see </w:t>
      </w:r>
      <w:proofErr w:type="spellStart"/>
      <w:r w:rsidRPr="00171C2D">
        <w:rPr>
          <w:rFonts w:ascii="Avenir" w:eastAsia="Avenir" w:hAnsi="Avenir" w:cs="Avenir"/>
          <w:highlight w:val="white"/>
          <w:lang w:val="en-GB"/>
        </w:rPr>
        <w:t>Uberoi</w:t>
      </w:r>
      <w:proofErr w:type="spellEnd"/>
      <w:r w:rsidRPr="00171C2D">
        <w:rPr>
          <w:rFonts w:ascii="Avenir" w:eastAsia="Avenir" w:hAnsi="Avenir" w:cs="Avenir"/>
          <w:highlight w:val="white"/>
          <w:lang w:val="en-GB"/>
        </w:rPr>
        <w:t xml:space="preserve"> et al. 2020). Of these, 10 parties hold seats in the Westminster Parliament, although five of them received fewer votes than the Brexit Party which—despite gaining over 2 per cent of the national vote share—was left empty-handed in terms of representation in the national parliament (see Table 1). In addition, ethno-regionalist parties, such as Plaid Cymru (Wales), the Scottish National Party (SNP; Scotland), and the Democratic Unionist Party (DUP) and Sinn Féin</w:t>
      </w:r>
      <w:r w:rsidRPr="00171C2D">
        <w:rPr>
          <w:rStyle w:val="FootnoteAnchor"/>
          <w:rFonts w:ascii="Avenir" w:eastAsia="Avenir" w:hAnsi="Avenir" w:cs="Avenir"/>
          <w:highlight w:val="white"/>
          <w:lang w:val="en-GB"/>
        </w:rPr>
        <w:footnoteReference w:id="2"/>
      </w:r>
      <w:r w:rsidRPr="00171C2D">
        <w:rPr>
          <w:rFonts w:ascii="Avenir" w:eastAsia="Avenir" w:hAnsi="Avenir" w:cs="Avenir"/>
          <w:highlight w:val="white"/>
          <w:lang w:val="en-GB"/>
        </w:rPr>
        <w:t xml:space="preserve"> (both Northern Ireland), all had electoral success and gained seats in the Westminster Parliament.</w:t>
      </w:r>
    </w:p>
    <w:p w14:paraId="311556E4" w14:textId="77777777" w:rsidR="00B556DE" w:rsidRPr="00171C2D" w:rsidRDefault="00B556DE">
      <w:pPr>
        <w:rPr>
          <w:rFonts w:ascii="Avenir" w:eastAsia="Avenir" w:hAnsi="Avenir" w:cs="Avenir"/>
          <w:b/>
          <w:bCs/>
          <w:iCs/>
          <w:highlight w:val="white"/>
          <w:lang w:val="en-GB"/>
        </w:rPr>
      </w:pPr>
    </w:p>
    <w:p w14:paraId="1AB3321C" w14:textId="77777777" w:rsidR="00B556DE" w:rsidRPr="00171C2D" w:rsidRDefault="000D6BB0">
      <w:pPr>
        <w:jc w:val="both"/>
        <w:rPr>
          <w:rFonts w:ascii="Avenir" w:eastAsia="Avenir" w:hAnsi="Avenir" w:cs="Avenir"/>
          <w:b/>
          <w:bCs/>
          <w:iCs/>
          <w:highlight w:val="white"/>
          <w:lang w:val="en-GB"/>
        </w:rPr>
      </w:pPr>
      <w:r w:rsidRPr="00171C2D">
        <w:rPr>
          <w:rFonts w:ascii="Avenir" w:eastAsia="Avenir" w:hAnsi="Avenir" w:cs="Avenir"/>
          <w:b/>
          <w:bCs/>
          <w:iCs/>
          <w:highlight w:val="white"/>
          <w:lang w:val="en-GB"/>
        </w:rPr>
        <w:lastRenderedPageBreak/>
        <w:t>Table 1: Outcome and number of candidates at the 2019 UK General Election by party</w:t>
      </w:r>
    </w:p>
    <w:tbl>
      <w:tblPr>
        <w:tblW w:w="9360" w:type="dxa"/>
        <w:tblCellMar>
          <w:top w:w="100" w:type="dxa"/>
          <w:left w:w="100" w:type="dxa"/>
          <w:bottom w:w="100" w:type="dxa"/>
          <w:right w:w="100" w:type="dxa"/>
        </w:tblCellMar>
        <w:tblLook w:val="0600" w:firstRow="0" w:lastRow="0" w:firstColumn="0" w:lastColumn="0" w:noHBand="1" w:noVBand="1"/>
      </w:tblPr>
      <w:tblGrid>
        <w:gridCol w:w="2550"/>
        <w:gridCol w:w="1545"/>
        <w:gridCol w:w="1500"/>
        <w:gridCol w:w="1882"/>
        <w:gridCol w:w="1883"/>
      </w:tblGrid>
      <w:tr w:rsidR="00171C2D" w:rsidRPr="00171C2D" w14:paraId="482F226D" w14:textId="77777777" w:rsidTr="00433AF2">
        <w:tc>
          <w:tcPr>
            <w:tcW w:w="2550" w:type="dxa"/>
            <w:tcBorders>
              <w:top w:val="single" w:sz="8" w:space="0" w:color="000000"/>
              <w:left w:val="single" w:sz="8" w:space="0" w:color="000000"/>
              <w:bottom w:val="single" w:sz="8" w:space="0" w:color="000000"/>
              <w:right w:val="single" w:sz="8" w:space="0" w:color="000000"/>
            </w:tcBorders>
            <w:shd w:val="clear" w:color="auto" w:fill="auto"/>
          </w:tcPr>
          <w:p w14:paraId="0697BA4E" w14:textId="77777777" w:rsidR="00B556DE" w:rsidRPr="00171C2D" w:rsidRDefault="000D6BB0">
            <w:pPr>
              <w:widowControl w:val="0"/>
              <w:spacing w:line="240" w:lineRule="auto"/>
              <w:rPr>
                <w:rFonts w:ascii="Avenir" w:eastAsia="Avenir" w:hAnsi="Avenir" w:cs="Avenir"/>
                <w:b/>
                <w:highlight w:val="lightGray"/>
                <w:lang w:val="en-GB"/>
              </w:rPr>
            </w:pPr>
            <w:r w:rsidRPr="00171C2D">
              <w:rPr>
                <w:rFonts w:ascii="Avenir" w:eastAsia="Avenir" w:hAnsi="Avenir" w:cs="Avenir"/>
                <w:b/>
                <w:shd w:val="clear" w:color="auto" w:fill="CCCCCC"/>
                <w:lang w:val="en-GB"/>
              </w:rPr>
              <w:t>Party</w:t>
            </w:r>
          </w:p>
        </w:tc>
        <w:tc>
          <w:tcPr>
            <w:tcW w:w="1545" w:type="dxa"/>
            <w:tcBorders>
              <w:top w:val="single" w:sz="8" w:space="0" w:color="000000"/>
              <w:left w:val="single" w:sz="8" w:space="0" w:color="000000"/>
              <w:bottom w:val="single" w:sz="8" w:space="0" w:color="000000"/>
              <w:right w:val="single" w:sz="8" w:space="0" w:color="000000"/>
            </w:tcBorders>
            <w:shd w:val="clear" w:color="auto" w:fill="auto"/>
          </w:tcPr>
          <w:p w14:paraId="05D2E422" w14:textId="77777777" w:rsidR="00B556DE" w:rsidRPr="00171C2D" w:rsidRDefault="000D6BB0">
            <w:pPr>
              <w:widowControl w:val="0"/>
              <w:spacing w:line="240" w:lineRule="auto"/>
              <w:rPr>
                <w:rFonts w:ascii="Avenir" w:eastAsia="Avenir" w:hAnsi="Avenir" w:cs="Avenir"/>
                <w:b/>
                <w:highlight w:val="lightGray"/>
                <w:lang w:val="en-GB"/>
              </w:rPr>
            </w:pPr>
            <w:r w:rsidRPr="00171C2D">
              <w:rPr>
                <w:rFonts w:ascii="Avenir" w:eastAsia="Avenir" w:hAnsi="Avenir" w:cs="Avenir"/>
                <w:b/>
                <w:shd w:val="clear" w:color="auto" w:fill="CCCCCC"/>
                <w:lang w:val="en-GB"/>
              </w:rPr>
              <w:t>Candidates</w:t>
            </w:r>
          </w:p>
        </w:tc>
        <w:tc>
          <w:tcPr>
            <w:tcW w:w="1500" w:type="dxa"/>
            <w:tcBorders>
              <w:top w:val="single" w:sz="8" w:space="0" w:color="000000"/>
              <w:left w:val="single" w:sz="8" w:space="0" w:color="000000"/>
              <w:bottom w:val="single" w:sz="8" w:space="0" w:color="000000"/>
              <w:right w:val="single" w:sz="8" w:space="0" w:color="000000"/>
            </w:tcBorders>
            <w:shd w:val="clear" w:color="auto" w:fill="auto"/>
          </w:tcPr>
          <w:p w14:paraId="06869CC2" w14:textId="77777777" w:rsidR="00B556DE" w:rsidRPr="00171C2D" w:rsidRDefault="000D6BB0">
            <w:pPr>
              <w:widowControl w:val="0"/>
              <w:spacing w:line="240" w:lineRule="auto"/>
              <w:rPr>
                <w:rFonts w:ascii="Avenir" w:eastAsia="Avenir" w:hAnsi="Avenir" w:cs="Avenir"/>
                <w:b/>
                <w:highlight w:val="lightGray"/>
                <w:lang w:val="en-GB"/>
              </w:rPr>
            </w:pPr>
            <w:r w:rsidRPr="00171C2D">
              <w:rPr>
                <w:rFonts w:ascii="Avenir" w:eastAsia="Avenir" w:hAnsi="Avenir" w:cs="Avenir"/>
                <w:b/>
                <w:shd w:val="clear" w:color="auto" w:fill="CCCCCC"/>
                <w:lang w:val="en-GB"/>
              </w:rPr>
              <w:t>Votes</w:t>
            </w:r>
          </w:p>
        </w:tc>
        <w:tc>
          <w:tcPr>
            <w:tcW w:w="1882" w:type="dxa"/>
            <w:tcBorders>
              <w:top w:val="single" w:sz="8" w:space="0" w:color="000000"/>
              <w:left w:val="single" w:sz="8" w:space="0" w:color="000000"/>
              <w:bottom w:val="single" w:sz="8" w:space="0" w:color="000000"/>
              <w:right w:val="single" w:sz="8" w:space="0" w:color="000000"/>
            </w:tcBorders>
            <w:shd w:val="clear" w:color="auto" w:fill="auto"/>
          </w:tcPr>
          <w:p w14:paraId="75387EFD" w14:textId="77777777" w:rsidR="00B556DE" w:rsidRPr="00171C2D" w:rsidRDefault="000D6BB0">
            <w:pPr>
              <w:widowControl w:val="0"/>
              <w:spacing w:line="240" w:lineRule="auto"/>
              <w:rPr>
                <w:rFonts w:ascii="Avenir" w:eastAsia="Avenir" w:hAnsi="Avenir" w:cs="Avenir"/>
                <w:b/>
                <w:highlight w:val="lightGray"/>
                <w:lang w:val="en-GB"/>
              </w:rPr>
            </w:pPr>
            <w:r w:rsidRPr="00171C2D">
              <w:rPr>
                <w:rFonts w:ascii="Avenir" w:eastAsia="Avenir" w:hAnsi="Avenir" w:cs="Avenir"/>
                <w:b/>
                <w:shd w:val="clear" w:color="auto" w:fill="CCCCCC"/>
                <w:lang w:val="en-GB"/>
              </w:rPr>
              <w:t>Vote share (%)</w:t>
            </w:r>
          </w:p>
        </w:tc>
        <w:tc>
          <w:tcPr>
            <w:tcW w:w="1883" w:type="dxa"/>
            <w:tcBorders>
              <w:top w:val="single" w:sz="8" w:space="0" w:color="000000"/>
              <w:left w:val="single" w:sz="8" w:space="0" w:color="000000"/>
              <w:bottom w:val="single" w:sz="8" w:space="0" w:color="000000"/>
              <w:right w:val="single" w:sz="8" w:space="0" w:color="000000"/>
            </w:tcBorders>
            <w:shd w:val="clear" w:color="auto" w:fill="auto"/>
          </w:tcPr>
          <w:p w14:paraId="136C98D0" w14:textId="77777777" w:rsidR="00B556DE" w:rsidRPr="00171C2D" w:rsidRDefault="000D6BB0">
            <w:pPr>
              <w:widowControl w:val="0"/>
              <w:spacing w:line="240" w:lineRule="auto"/>
              <w:rPr>
                <w:rFonts w:ascii="Avenir" w:eastAsia="Avenir" w:hAnsi="Avenir" w:cs="Avenir"/>
                <w:b/>
                <w:highlight w:val="lightGray"/>
                <w:lang w:val="en-GB"/>
              </w:rPr>
            </w:pPr>
            <w:r w:rsidRPr="00171C2D">
              <w:rPr>
                <w:rFonts w:ascii="Avenir" w:eastAsia="Avenir" w:hAnsi="Avenir" w:cs="Avenir"/>
                <w:b/>
                <w:shd w:val="clear" w:color="auto" w:fill="CCCCCC"/>
                <w:lang w:val="en-GB"/>
              </w:rPr>
              <w:t>Seats in the House of Commons</w:t>
            </w:r>
          </w:p>
        </w:tc>
      </w:tr>
      <w:tr w:rsidR="00171C2D" w:rsidRPr="00171C2D" w14:paraId="7FAB5F91" w14:textId="77777777" w:rsidTr="00433AF2">
        <w:tc>
          <w:tcPr>
            <w:tcW w:w="2550" w:type="dxa"/>
            <w:tcBorders>
              <w:top w:val="single" w:sz="8" w:space="0" w:color="000000"/>
              <w:left w:val="single" w:sz="8" w:space="0" w:color="000000"/>
              <w:bottom w:val="single" w:sz="8" w:space="0" w:color="000000"/>
              <w:right w:val="single" w:sz="8" w:space="0" w:color="000000"/>
            </w:tcBorders>
            <w:shd w:val="clear" w:color="auto" w:fill="auto"/>
          </w:tcPr>
          <w:p w14:paraId="534898A5"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Conservatives</w:t>
            </w:r>
          </w:p>
        </w:tc>
        <w:tc>
          <w:tcPr>
            <w:tcW w:w="1545" w:type="dxa"/>
            <w:tcBorders>
              <w:top w:val="single" w:sz="8" w:space="0" w:color="000000"/>
              <w:left w:val="single" w:sz="8" w:space="0" w:color="000000"/>
              <w:bottom w:val="single" w:sz="8" w:space="0" w:color="000000"/>
              <w:right w:val="single" w:sz="8" w:space="0" w:color="000000"/>
            </w:tcBorders>
            <w:shd w:val="clear" w:color="auto" w:fill="auto"/>
          </w:tcPr>
          <w:p w14:paraId="2314E51C"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635</w:t>
            </w:r>
          </w:p>
        </w:tc>
        <w:tc>
          <w:tcPr>
            <w:tcW w:w="1500" w:type="dxa"/>
            <w:tcBorders>
              <w:top w:val="single" w:sz="8" w:space="0" w:color="000000"/>
              <w:left w:val="single" w:sz="8" w:space="0" w:color="000000"/>
              <w:bottom w:val="single" w:sz="8" w:space="0" w:color="000000"/>
              <w:right w:val="single" w:sz="8" w:space="0" w:color="000000"/>
            </w:tcBorders>
            <w:shd w:val="clear" w:color="auto" w:fill="auto"/>
          </w:tcPr>
          <w:p w14:paraId="73A61D9D"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13,966,454</w:t>
            </w:r>
          </w:p>
        </w:tc>
        <w:tc>
          <w:tcPr>
            <w:tcW w:w="1882" w:type="dxa"/>
            <w:tcBorders>
              <w:top w:val="single" w:sz="8" w:space="0" w:color="000000"/>
              <w:left w:val="single" w:sz="8" w:space="0" w:color="000000"/>
              <w:bottom w:val="single" w:sz="8" w:space="0" w:color="000000"/>
              <w:right w:val="single" w:sz="8" w:space="0" w:color="000000"/>
            </w:tcBorders>
            <w:shd w:val="clear" w:color="auto" w:fill="auto"/>
          </w:tcPr>
          <w:p w14:paraId="46CB03F3"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43.63</w:t>
            </w:r>
          </w:p>
        </w:tc>
        <w:tc>
          <w:tcPr>
            <w:tcW w:w="1883" w:type="dxa"/>
            <w:tcBorders>
              <w:top w:val="single" w:sz="8" w:space="0" w:color="000000"/>
              <w:left w:val="single" w:sz="8" w:space="0" w:color="000000"/>
              <w:bottom w:val="single" w:sz="8" w:space="0" w:color="000000"/>
              <w:right w:val="single" w:sz="8" w:space="0" w:color="000000"/>
            </w:tcBorders>
            <w:shd w:val="clear" w:color="auto" w:fill="auto"/>
          </w:tcPr>
          <w:p w14:paraId="75635B1D"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365</w:t>
            </w:r>
          </w:p>
        </w:tc>
      </w:tr>
      <w:tr w:rsidR="00171C2D" w:rsidRPr="00171C2D" w14:paraId="1BEE9642" w14:textId="77777777" w:rsidTr="00433AF2">
        <w:tc>
          <w:tcPr>
            <w:tcW w:w="2550" w:type="dxa"/>
            <w:tcBorders>
              <w:top w:val="single" w:sz="8" w:space="0" w:color="000000"/>
              <w:left w:val="single" w:sz="8" w:space="0" w:color="000000"/>
              <w:bottom w:val="single" w:sz="8" w:space="0" w:color="000000"/>
              <w:right w:val="single" w:sz="8" w:space="0" w:color="000000"/>
            </w:tcBorders>
            <w:shd w:val="clear" w:color="auto" w:fill="auto"/>
          </w:tcPr>
          <w:p w14:paraId="6C7E3D93"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Labour</w:t>
            </w:r>
          </w:p>
        </w:tc>
        <w:tc>
          <w:tcPr>
            <w:tcW w:w="1545" w:type="dxa"/>
            <w:tcBorders>
              <w:top w:val="single" w:sz="8" w:space="0" w:color="000000"/>
              <w:left w:val="single" w:sz="8" w:space="0" w:color="000000"/>
              <w:bottom w:val="single" w:sz="8" w:space="0" w:color="000000"/>
              <w:right w:val="single" w:sz="8" w:space="0" w:color="000000"/>
            </w:tcBorders>
            <w:shd w:val="clear" w:color="auto" w:fill="auto"/>
          </w:tcPr>
          <w:p w14:paraId="420D3301"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631</w:t>
            </w:r>
          </w:p>
        </w:tc>
        <w:tc>
          <w:tcPr>
            <w:tcW w:w="1500" w:type="dxa"/>
            <w:tcBorders>
              <w:top w:val="single" w:sz="8" w:space="0" w:color="000000"/>
              <w:left w:val="single" w:sz="8" w:space="0" w:color="000000"/>
              <w:bottom w:val="single" w:sz="8" w:space="0" w:color="000000"/>
              <w:right w:val="single" w:sz="8" w:space="0" w:color="000000"/>
            </w:tcBorders>
            <w:shd w:val="clear" w:color="auto" w:fill="auto"/>
          </w:tcPr>
          <w:p w14:paraId="0F6A77EC"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10,269,051</w:t>
            </w:r>
          </w:p>
        </w:tc>
        <w:tc>
          <w:tcPr>
            <w:tcW w:w="1882" w:type="dxa"/>
            <w:tcBorders>
              <w:top w:val="single" w:sz="8" w:space="0" w:color="000000"/>
              <w:left w:val="single" w:sz="8" w:space="0" w:color="000000"/>
              <w:bottom w:val="single" w:sz="8" w:space="0" w:color="000000"/>
              <w:right w:val="single" w:sz="8" w:space="0" w:color="000000"/>
            </w:tcBorders>
            <w:shd w:val="clear" w:color="auto" w:fill="auto"/>
          </w:tcPr>
          <w:p w14:paraId="028741F3"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32.08</w:t>
            </w:r>
          </w:p>
        </w:tc>
        <w:tc>
          <w:tcPr>
            <w:tcW w:w="1883" w:type="dxa"/>
            <w:tcBorders>
              <w:top w:val="single" w:sz="8" w:space="0" w:color="000000"/>
              <w:left w:val="single" w:sz="8" w:space="0" w:color="000000"/>
              <w:bottom w:val="single" w:sz="8" w:space="0" w:color="000000"/>
              <w:right w:val="single" w:sz="8" w:space="0" w:color="000000"/>
            </w:tcBorders>
            <w:shd w:val="clear" w:color="auto" w:fill="auto"/>
          </w:tcPr>
          <w:p w14:paraId="19F9B702"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202</w:t>
            </w:r>
          </w:p>
        </w:tc>
      </w:tr>
      <w:tr w:rsidR="00171C2D" w:rsidRPr="00171C2D" w14:paraId="7F20845B" w14:textId="77777777" w:rsidTr="00433AF2">
        <w:tc>
          <w:tcPr>
            <w:tcW w:w="2550" w:type="dxa"/>
            <w:tcBorders>
              <w:top w:val="single" w:sz="8" w:space="0" w:color="000000"/>
              <w:left w:val="single" w:sz="8" w:space="0" w:color="000000"/>
              <w:bottom w:val="single" w:sz="8" w:space="0" w:color="000000"/>
              <w:right w:val="single" w:sz="8" w:space="0" w:color="000000"/>
            </w:tcBorders>
            <w:shd w:val="clear" w:color="auto" w:fill="auto"/>
          </w:tcPr>
          <w:p w14:paraId="2B0713E1"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Liberal Democrats</w:t>
            </w:r>
          </w:p>
        </w:tc>
        <w:tc>
          <w:tcPr>
            <w:tcW w:w="1545" w:type="dxa"/>
            <w:tcBorders>
              <w:top w:val="single" w:sz="8" w:space="0" w:color="000000"/>
              <w:left w:val="single" w:sz="8" w:space="0" w:color="000000"/>
              <w:bottom w:val="single" w:sz="8" w:space="0" w:color="000000"/>
              <w:right w:val="single" w:sz="8" w:space="0" w:color="000000"/>
            </w:tcBorders>
            <w:shd w:val="clear" w:color="auto" w:fill="auto"/>
          </w:tcPr>
          <w:p w14:paraId="49927787"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611</w:t>
            </w:r>
          </w:p>
        </w:tc>
        <w:tc>
          <w:tcPr>
            <w:tcW w:w="1500" w:type="dxa"/>
            <w:tcBorders>
              <w:top w:val="single" w:sz="8" w:space="0" w:color="000000"/>
              <w:left w:val="single" w:sz="8" w:space="0" w:color="000000"/>
              <w:bottom w:val="single" w:sz="8" w:space="0" w:color="000000"/>
              <w:right w:val="single" w:sz="8" w:space="0" w:color="000000"/>
            </w:tcBorders>
            <w:shd w:val="clear" w:color="auto" w:fill="auto"/>
          </w:tcPr>
          <w:p w14:paraId="13005940"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3,696,419</w:t>
            </w:r>
          </w:p>
        </w:tc>
        <w:tc>
          <w:tcPr>
            <w:tcW w:w="1882" w:type="dxa"/>
            <w:tcBorders>
              <w:top w:val="single" w:sz="8" w:space="0" w:color="000000"/>
              <w:left w:val="single" w:sz="8" w:space="0" w:color="000000"/>
              <w:bottom w:val="single" w:sz="8" w:space="0" w:color="000000"/>
              <w:right w:val="single" w:sz="8" w:space="0" w:color="000000"/>
            </w:tcBorders>
            <w:shd w:val="clear" w:color="auto" w:fill="auto"/>
          </w:tcPr>
          <w:p w14:paraId="0F6CB29C"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11.55</w:t>
            </w:r>
          </w:p>
        </w:tc>
        <w:tc>
          <w:tcPr>
            <w:tcW w:w="1883" w:type="dxa"/>
            <w:tcBorders>
              <w:top w:val="single" w:sz="8" w:space="0" w:color="000000"/>
              <w:left w:val="single" w:sz="8" w:space="0" w:color="000000"/>
              <w:bottom w:val="single" w:sz="8" w:space="0" w:color="000000"/>
              <w:right w:val="single" w:sz="8" w:space="0" w:color="000000"/>
            </w:tcBorders>
            <w:shd w:val="clear" w:color="auto" w:fill="auto"/>
          </w:tcPr>
          <w:p w14:paraId="580CD3A7"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11</w:t>
            </w:r>
          </w:p>
        </w:tc>
      </w:tr>
      <w:tr w:rsidR="00171C2D" w:rsidRPr="00171C2D" w14:paraId="513F3D53" w14:textId="77777777" w:rsidTr="00433AF2">
        <w:tc>
          <w:tcPr>
            <w:tcW w:w="2550" w:type="dxa"/>
            <w:tcBorders>
              <w:top w:val="single" w:sz="8" w:space="0" w:color="000000"/>
              <w:left w:val="single" w:sz="8" w:space="0" w:color="000000"/>
              <w:bottom w:val="single" w:sz="8" w:space="0" w:color="000000"/>
              <w:right w:val="single" w:sz="8" w:space="0" w:color="000000"/>
            </w:tcBorders>
            <w:shd w:val="clear" w:color="auto" w:fill="auto"/>
          </w:tcPr>
          <w:p w14:paraId="1D829D55"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Scottish National Party</w:t>
            </w:r>
          </w:p>
        </w:tc>
        <w:tc>
          <w:tcPr>
            <w:tcW w:w="1545" w:type="dxa"/>
            <w:tcBorders>
              <w:top w:val="single" w:sz="8" w:space="0" w:color="000000"/>
              <w:left w:val="single" w:sz="8" w:space="0" w:color="000000"/>
              <w:bottom w:val="single" w:sz="8" w:space="0" w:color="000000"/>
              <w:right w:val="single" w:sz="8" w:space="0" w:color="000000"/>
            </w:tcBorders>
            <w:shd w:val="clear" w:color="auto" w:fill="auto"/>
          </w:tcPr>
          <w:p w14:paraId="36DA8C8A"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59</w:t>
            </w:r>
          </w:p>
        </w:tc>
        <w:tc>
          <w:tcPr>
            <w:tcW w:w="1500" w:type="dxa"/>
            <w:tcBorders>
              <w:top w:val="single" w:sz="8" w:space="0" w:color="000000"/>
              <w:left w:val="single" w:sz="8" w:space="0" w:color="000000"/>
              <w:bottom w:val="single" w:sz="8" w:space="0" w:color="000000"/>
              <w:right w:val="single" w:sz="8" w:space="0" w:color="000000"/>
            </w:tcBorders>
            <w:shd w:val="clear" w:color="auto" w:fill="auto"/>
          </w:tcPr>
          <w:p w14:paraId="794E489F"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1,242,380</w:t>
            </w:r>
          </w:p>
        </w:tc>
        <w:tc>
          <w:tcPr>
            <w:tcW w:w="1882" w:type="dxa"/>
            <w:tcBorders>
              <w:top w:val="single" w:sz="8" w:space="0" w:color="000000"/>
              <w:left w:val="single" w:sz="8" w:space="0" w:color="000000"/>
              <w:bottom w:val="single" w:sz="8" w:space="0" w:color="000000"/>
              <w:right w:val="single" w:sz="8" w:space="0" w:color="000000"/>
            </w:tcBorders>
            <w:shd w:val="clear" w:color="auto" w:fill="auto"/>
          </w:tcPr>
          <w:p w14:paraId="4B44E855"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3.88</w:t>
            </w:r>
          </w:p>
        </w:tc>
        <w:tc>
          <w:tcPr>
            <w:tcW w:w="1883" w:type="dxa"/>
            <w:tcBorders>
              <w:top w:val="single" w:sz="8" w:space="0" w:color="000000"/>
              <w:left w:val="single" w:sz="8" w:space="0" w:color="000000"/>
              <w:bottom w:val="single" w:sz="8" w:space="0" w:color="000000"/>
              <w:right w:val="single" w:sz="8" w:space="0" w:color="000000"/>
            </w:tcBorders>
            <w:shd w:val="clear" w:color="auto" w:fill="auto"/>
          </w:tcPr>
          <w:p w14:paraId="2D91E65D"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48</w:t>
            </w:r>
          </w:p>
        </w:tc>
      </w:tr>
      <w:tr w:rsidR="00171C2D" w:rsidRPr="00171C2D" w14:paraId="15521D18" w14:textId="77777777" w:rsidTr="00433AF2">
        <w:tc>
          <w:tcPr>
            <w:tcW w:w="2550" w:type="dxa"/>
            <w:tcBorders>
              <w:top w:val="single" w:sz="8" w:space="0" w:color="000000"/>
              <w:left w:val="single" w:sz="8" w:space="0" w:color="000000"/>
              <w:bottom w:val="single" w:sz="8" w:space="0" w:color="000000"/>
              <w:right w:val="single" w:sz="8" w:space="0" w:color="000000"/>
            </w:tcBorders>
            <w:shd w:val="clear" w:color="auto" w:fill="auto"/>
          </w:tcPr>
          <w:p w14:paraId="02207432"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Green parties</w:t>
            </w:r>
            <w:r w:rsidRPr="00171C2D">
              <w:rPr>
                <w:rStyle w:val="FootnoteAnchor"/>
                <w:rFonts w:ascii="Avenir" w:eastAsia="Avenir" w:hAnsi="Avenir" w:cs="Avenir"/>
                <w:highlight w:val="white"/>
                <w:lang w:val="en-GB"/>
              </w:rPr>
              <w:footnoteReference w:id="3"/>
            </w:r>
          </w:p>
        </w:tc>
        <w:tc>
          <w:tcPr>
            <w:tcW w:w="1545" w:type="dxa"/>
            <w:tcBorders>
              <w:top w:val="single" w:sz="8" w:space="0" w:color="000000"/>
              <w:left w:val="single" w:sz="8" w:space="0" w:color="000000"/>
              <w:bottom w:val="single" w:sz="8" w:space="0" w:color="000000"/>
              <w:right w:val="single" w:sz="8" w:space="0" w:color="000000"/>
            </w:tcBorders>
            <w:shd w:val="clear" w:color="auto" w:fill="auto"/>
          </w:tcPr>
          <w:p w14:paraId="321649E1"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497</w:t>
            </w:r>
          </w:p>
        </w:tc>
        <w:tc>
          <w:tcPr>
            <w:tcW w:w="1500" w:type="dxa"/>
            <w:tcBorders>
              <w:top w:val="single" w:sz="8" w:space="0" w:color="000000"/>
              <w:left w:val="single" w:sz="8" w:space="0" w:color="000000"/>
              <w:bottom w:val="single" w:sz="8" w:space="0" w:color="000000"/>
              <w:right w:val="single" w:sz="8" w:space="0" w:color="000000"/>
            </w:tcBorders>
            <w:shd w:val="clear" w:color="auto" w:fill="auto"/>
          </w:tcPr>
          <w:p w14:paraId="1C1CFA8F"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865,715</w:t>
            </w:r>
          </w:p>
        </w:tc>
        <w:tc>
          <w:tcPr>
            <w:tcW w:w="1882" w:type="dxa"/>
            <w:tcBorders>
              <w:top w:val="single" w:sz="8" w:space="0" w:color="000000"/>
              <w:left w:val="single" w:sz="8" w:space="0" w:color="000000"/>
              <w:bottom w:val="single" w:sz="8" w:space="0" w:color="000000"/>
              <w:right w:val="single" w:sz="8" w:space="0" w:color="000000"/>
            </w:tcBorders>
            <w:shd w:val="clear" w:color="auto" w:fill="auto"/>
          </w:tcPr>
          <w:p w14:paraId="1EC504D0"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2.70</w:t>
            </w:r>
          </w:p>
        </w:tc>
        <w:tc>
          <w:tcPr>
            <w:tcW w:w="1883" w:type="dxa"/>
            <w:tcBorders>
              <w:top w:val="single" w:sz="8" w:space="0" w:color="000000"/>
              <w:left w:val="single" w:sz="8" w:space="0" w:color="000000"/>
              <w:bottom w:val="single" w:sz="8" w:space="0" w:color="000000"/>
              <w:right w:val="single" w:sz="8" w:space="0" w:color="000000"/>
            </w:tcBorders>
            <w:shd w:val="clear" w:color="auto" w:fill="auto"/>
          </w:tcPr>
          <w:p w14:paraId="07565045"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1</w:t>
            </w:r>
          </w:p>
        </w:tc>
      </w:tr>
      <w:tr w:rsidR="00171C2D" w:rsidRPr="00171C2D" w14:paraId="5D611512" w14:textId="77777777" w:rsidTr="00433AF2">
        <w:tc>
          <w:tcPr>
            <w:tcW w:w="2550" w:type="dxa"/>
            <w:tcBorders>
              <w:top w:val="single" w:sz="8" w:space="0" w:color="000000"/>
              <w:left w:val="single" w:sz="8" w:space="0" w:color="000000"/>
              <w:bottom w:val="single" w:sz="8" w:space="0" w:color="000000"/>
              <w:right w:val="single" w:sz="8" w:space="0" w:color="000000"/>
            </w:tcBorders>
            <w:shd w:val="clear" w:color="auto" w:fill="auto"/>
          </w:tcPr>
          <w:p w14:paraId="0A32D3C6"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Brexit Party</w:t>
            </w:r>
          </w:p>
        </w:tc>
        <w:tc>
          <w:tcPr>
            <w:tcW w:w="1545" w:type="dxa"/>
            <w:tcBorders>
              <w:top w:val="single" w:sz="8" w:space="0" w:color="000000"/>
              <w:left w:val="single" w:sz="8" w:space="0" w:color="000000"/>
              <w:bottom w:val="single" w:sz="8" w:space="0" w:color="000000"/>
              <w:right w:val="single" w:sz="8" w:space="0" w:color="000000"/>
            </w:tcBorders>
            <w:shd w:val="clear" w:color="auto" w:fill="auto"/>
          </w:tcPr>
          <w:p w14:paraId="5AF3134B"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275</w:t>
            </w:r>
          </w:p>
        </w:tc>
        <w:tc>
          <w:tcPr>
            <w:tcW w:w="1500" w:type="dxa"/>
            <w:tcBorders>
              <w:top w:val="single" w:sz="8" w:space="0" w:color="000000"/>
              <w:left w:val="single" w:sz="8" w:space="0" w:color="000000"/>
              <w:bottom w:val="single" w:sz="8" w:space="0" w:color="000000"/>
              <w:right w:val="single" w:sz="8" w:space="0" w:color="000000"/>
            </w:tcBorders>
            <w:shd w:val="clear" w:color="auto" w:fill="auto"/>
          </w:tcPr>
          <w:p w14:paraId="3A37FF36"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644,257</w:t>
            </w:r>
          </w:p>
        </w:tc>
        <w:tc>
          <w:tcPr>
            <w:tcW w:w="1882" w:type="dxa"/>
            <w:tcBorders>
              <w:top w:val="single" w:sz="8" w:space="0" w:color="000000"/>
              <w:left w:val="single" w:sz="8" w:space="0" w:color="000000"/>
              <w:bottom w:val="single" w:sz="8" w:space="0" w:color="000000"/>
              <w:right w:val="single" w:sz="8" w:space="0" w:color="000000"/>
            </w:tcBorders>
            <w:shd w:val="clear" w:color="auto" w:fill="auto"/>
          </w:tcPr>
          <w:p w14:paraId="114681BA"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2.01</w:t>
            </w:r>
          </w:p>
        </w:tc>
        <w:tc>
          <w:tcPr>
            <w:tcW w:w="1883" w:type="dxa"/>
            <w:tcBorders>
              <w:top w:val="single" w:sz="8" w:space="0" w:color="000000"/>
              <w:left w:val="single" w:sz="8" w:space="0" w:color="000000"/>
              <w:bottom w:val="single" w:sz="8" w:space="0" w:color="000000"/>
              <w:right w:val="single" w:sz="8" w:space="0" w:color="000000"/>
            </w:tcBorders>
            <w:shd w:val="clear" w:color="auto" w:fill="auto"/>
          </w:tcPr>
          <w:p w14:paraId="58EB7E82"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0</w:t>
            </w:r>
          </w:p>
        </w:tc>
      </w:tr>
      <w:tr w:rsidR="00171C2D" w:rsidRPr="00171C2D" w14:paraId="58F1C0C0" w14:textId="77777777" w:rsidTr="00433AF2">
        <w:tc>
          <w:tcPr>
            <w:tcW w:w="2550" w:type="dxa"/>
            <w:tcBorders>
              <w:top w:val="single" w:sz="8" w:space="0" w:color="000000"/>
              <w:left w:val="single" w:sz="8" w:space="0" w:color="000000"/>
              <w:bottom w:val="single" w:sz="8" w:space="0" w:color="000000"/>
              <w:right w:val="single" w:sz="8" w:space="0" w:color="000000"/>
            </w:tcBorders>
            <w:shd w:val="clear" w:color="auto" w:fill="auto"/>
          </w:tcPr>
          <w:p w14:paraId="70723731"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Democratic Unionist Party</w:t>
            </w:r>
          </w:p>
        </w:tc>
        <w:tc>
          <w:tcPr>
            <w:tcW w:w="1545" w:type="dxa"/>
            <w:tcBorders>
              <w:top w:val="single" w:sz="8" w:space="0" w:color="000000"/>
              <w:left w:val="single" w:sz="8" w:space="0" w:color="000000"/>
              <w:bottom w:val="single" w:sz="8" w:space="0" w:color="000000"/>
              <w:right w:val="single" w:sz="8" w:space="0" w:color="000000"/>
            </w:tcBorders>
            <w:shd w:val="clear" w:color="auto" w:fill="auto"/>
          </w:tcPr>
          <w:p w14:paraId="68BC42F7"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17</w:t>
            </w:r>
          </w:p>
        </w:tc>
        <w:tc>
          <w:tcPr>
            <w:tcW w:w="1500" w:type="dxa"/>
            <w:tcBorders>
              <w:top w:val="single" w:sz="8" w:space="0" w:color="000000"/>
              <w:left w:val="single" w:sz="8" w:space="0" w:color="000000"/>
              <w:bottom w:val="single" w:sz="8" w:space="0" w:color="000000"/>
              <w:right w:val="single" w:sz="8" w:space="0" w:color="000000"/>
            </w:tcBorders>
            <w:shd w:val="clear" w:color="auto" w:fill="auto"/>
          </w:tcPr>
          <w:p w14:paraId="1961FACA"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244,128</w:t>
            </w:r>
          </w:p>
        </w:tc>
        <w:tc>
          <w:tcPr>
            <w:tcW w:w="1882" w:type="dxa"/>
            <w:tcBorders>
              <w:top w:val="single" w:sz="8" w:space="0" w:color="000000"/>
              <w:left w:val="single" w:sz="8" w:space="0" w:color="000000"/>
              <w:bottom w:val="single" w:sz="8" w:space="0" w:color="000000"/>
              <w:right w:val="single" w:sz="8" w:space="0" w:color="000000"/>
            </w:tcBorders>
            <w:shd w:val="clear" w:color="auto" w:fill="auto"/>
          </w:tcPr>
          <w:p w14:paraId="5EDED0ED"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0.76</w:t>
            </w:r>
          </w:p>
        </w:tc>
        <w:tc>
          <w:tcPr>
            <w:tcW w:w="1883" w:type="dxa"/>
            <w:tcBorders>
              <w:top w:val="single" w:sz="8" w:space="0" w:color="000000"/>
              <w:left w:val="single" w:sz="8" w:space="0" w:color="000000"/>
              <w:bottom w:val="single" w:sz="8" w:space="0" w:color="000000"/>
              <w:right w:val="single" w:sz="8" w:space="0" w:color="000000"/>
            </w:tcBorders>
            <w:shd w:val="clear" w:color="auto" w:fill="auto"/>
          </w:tcPr>
          <w:p w14:paraId="2502011F"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8</w:t>
            </w:r>
          </w:p>
        </w:tc>
      </w:tr>
      <w:tr w:rsidR="00171C2D" w:rsidRPr="00171C2D" w14:paraId="73386E25" w14:textId="77777777" w:rsidTr="00433AF2">
        <w:tc>
          <w:tcPr>
            <w:tcW w:w="2550" w:type="dxa"/>
            <w:tcBorders>
              <w:top w:val="single" w:sz="8" w:space="0" w:color="000000"/>
              <w:left w:val="single" w:sz="8" w:space="0" w:color="000000"/>
              <w:bottom w:val="single" w:sz="8" w:space="0" w:color="000000"/>
              <w:right w:val="single" w:sz="8" w:space="0" w:color="000000"/>
            </w:tcBorders>
            <w:shd w:val="clear" w:color="auto" w:fill="auto"/>
          </w:tcPr>
          <w:p w14:paraId="4D7C7252"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Sinn Féin</w:t>
            </w:r>
          </w:p>
        </w:tc>
        <w:tc>
          <w:tcPr>
            <w:tcW w:w="1545" w:type="dxa"/>
            <w:tcBorders>
              <w:top w:val="single" w:sz="8" w:space="0" w:color="000000"/>
              <w:left w:val="single" w:sz="8" w:space="0" w:color="000000"/>
              <w:bottom w:val="single" w:sz="8" w:space="0" w:color="000000"/>
              <w:right w:val="single" w:sz="8" w:space="0" w:color="000000"/>
            </w:tcBorders>
            <w:shd w:val="clear" w:color="auto" w:fill="auto"/>
          </w:tcPr>
          <w:p w14:paraId="3A3A9532"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15</w:t>
            </w:r>
          </w:p>
        </w:tc>
        <w:tc>
          <w:tcPr>
            <w:tcW w:w="1500" w:type="dxa"/>
            <w:tcBorders>
              <w:top w:val="single" w:sz="8" w:space="0" w:color="000000"/>
              <w:left w:val="single" w:sz="8" w:space="0" w:color="000000"/>
              <w:bottom w:val="single" w:sz="8" w:space="0" w:color="000000"/>
              <w:right w:val="single" w:sz="8" w:space="0" w:color="000000"/>
            </w:tcBorders>
            <w:shd w:val="clear" w:color="auto" w:fill="auto"/>
          </w:tcPr>
          <w:p w14:paraId="747A7E18"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181,853</w:t>
            </w:r>
          </w:p>
        </w:tc>
        <w:tc>
          <w:tcPr>
            <w:tcW w:w="1882" w:type="dxa"/>
            <w:tcBorders>
              <w:top w:val="single" w:sz="8" w:space="0" w:color="000000"/>
              <w:left w:val="single" w:sz="8" w:space="0" w:color="000000"/>
              <w:bottom w:val="single" w:sz="8" w:space="0" w:color="000000"/>
              <w:right w:val="single" w:sz="8" w:space="0" w:color="000000"/>
            </w:tcBorders>
            <w:shd w:val="clear" w:color="auto" w:fill="auto"/>
          </w:tcPr>
          <w:p w14:paraId="1A44643E"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0.57</w:t>
            </w:r>
          </w:p>
        </w:tc>
        <w:tc>
          <w:tcPr>
            <w:tcW w:w="1883" w:type="dxa"/>
            <w:tcBorders>
              <w:top w:val="single" w:sz="8" w:space="0" w:color="000000"/>
              <w:left w:val="single" w:sz="8" w:space="0" w:color="000000"/>
              <w:bottom w:val="single" w:sz="8" w:space="0" w:color="000000"/>
              <w:right w:val="single" w:sz="8" w:space="0" w:color="000000"/>
            </w:tcBorders>
            <w:shd w:val="clear" w:color="auto" w:fill="auto"/>
          </w:tcPr>
          <w:p w14:paraId="4CC66C60"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7</w:t>
            </w:r>
          </w:p>
        </w:tc>
      </w:tr>
      <w:tr w:rsidR="00171C2D" w:rsidRPr="00171C2D" w14:paraId="15B46395" w14:textId="77777777" w:rsidTr="00433AF2">
        <w:tc>
          <w:tcPr>
            <w:tcW w:w="2550" w:type="dxa"/>
            <w:tcBorders>
              <w:top w:val="single" w:sz="8" w:space="0" w:color="000000"/>
              <w:left w:val="single" w:sz="8" w:space="0" w:color="000000"/>
              <w:bottom w:val="single" w:sz="8" w:space="0" w:color="000000"/>
              <w:right w:val="single" w:sz="8" w:space="0" w:color="000000"/>
            </w:tcBorders>
            <w:shd w:val="clear" w:color="auto" w:fill="auto"/>
          </w:tcPr>
          <w:p w14:paraId="56E68863"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Plaid Cymru</w:t>
            </w:r>
          </w:p>
        </w:tc>
        <w:tc>
          <w:tcPr>
            <w:tcW w:w="1545" w:type="dxa"/>
            <w:tcBorders>
              <w:top w:val="single" w:sz="8" w:space="0" w:color="000000"/>
              <w:left w:val="single" w:sz="8" w:space="0" w:color="000000"/>
              <w:bottom w:val="single" w:sz="8" w:space="0" w:color="000000"/>
              <w:right w:val="single" w:sz="8" w:space="0" w:color="000000"/>
            </w:tcBorders>
            <w:shd w:val="clear" w:color="auto" w:fill="auto"/>
          </w:tcPr>
          <w:p w14:paraId="650B1D0C"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36</w:t>
            </w:r>
          </w:p>
        </w:tc>
        <w:tc>
          <w:tcPr>
            <w:tcW w:w="1500" w:type="dxa"/>
            <w:tcBorders>
              <w:top w:val="single" w:sz="8" w:space="0" w:color="000000"/>
              <w:left w:val="single" w:sz="8" w:space="0" w:color="000000"/>
              <w:bottom w:val="single" w:sz="8" w:space="0" w:color="000000"/>
              <w:right w:val="single" w:sz="8" w:space="0" w:color="000000"/>
            </w:tcBorders>
            <w:shd w:val="clear" w:color="auto" w:fill="auto"/>
          </w:tcPr>
          <w:p w14:paraId="76664274"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153,265</w:t>
            </w:r>
          </w:p>
        </w:tc>
        <w:tc>
          <w:tcPr>
            <w:tcW w:w="1882" w:type="dxa"/>
            <w:tcBorders>
              <w:top w:val="single" w:sz="8" w:space="0" w:color="000000"/>
              <w:left w:val="single" w:sz="8" w:space="0" w:color="000000"/>
              <w:bottom w:val="single" w:sz="8" w:space="0" w:color="000000"/>
              <w:right w:val="single" w:sz="8" w:space="0" w:color="000000"/>
            </w:tcBorders>
            <w:shd w:val="clear" w:color="auto" w:fill="auto"/>
          </w:tcPr>
          <w:p w14:paraId="4C1047F6"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0.48</w:t>
            </w:r>
          </w:p>
        </w:tc>
        <w:tc>
          <w:tcPr>
            <w:tcW w:w="1883" w:type="dxa"/>
            <w:tcBorders>
              <w:top w:val="single" w:sz="8" w:space="0" w:color="000000"/>
              <w:left w:val="single" w:sz="8" w:space="0" w:color="000000"/>
              <w:bottom w:val="single" w:sz="8" w:space="0" w:color="000000"/>
              <w:right w:val="single" w:sz="8" w:space="0" w:color="000000"/>
            </w:tcBorders>
            <w:shd w:val="clear" w:color="auto" w:fill="auto"/>
          </w:tcPr>
          <w:p w14:paraId="27A590E5"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4</w:t>
            </w:r>
          </w:p>
        </w:tc>
      </w:tr>
      <w:tr w:rsidR="00171C2D" w:rsidRPr="00171C2D" w14:paraId="3D32B2AE" w14:textId="77777777" w:rsidTr="00433AF2">
        <w:tc>
          <w:tcPr>
            <w:tcW w:w="2550" w:type="dxa"/>
            <w:tcBorders>
              <w:top w:val="single" w:sz="8" w:space="0" w:color="000000"/>
              <w:left w:val="single" w:sz="8" w:space="0" w:color="000000"/>
              <w:bottom w:val="single" w:sz="8" w:space="0" w:color="000000"/>
              <w:right w:val="single" w:sz="8" w:space="0" w:color="000000"/>
            </w:tcBorders>
            <w:shd w:val="clear" w:color="auto" w:fill="auto"/>
          </w:tcPr>
          <w:p w14:paraId="445CFC0F"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Alliance Party</w:t>
            </w:r>
          </w:p>
        </w:tc>
        <w:tc>
          <w:tcPr>
            <w:tcW w:w="1545" w:type="dxa"/>
            <w:tcBorders>
              <w:top w:val="single" w:sz="8" w:space="0" w:color="000000"/>
              <w:left w:val="single" w:sz="8" w:space="0" w:color="000000"/>
              <w:bottom w:val="single" w:sz="8" w:space="0" w:color="000000"/>
              <w:right w:val="single" w:sz="8" w:space="0" w:color="000000"/>
            </w:tcBorders>
            <w:shd w:val="clear" w:color="auto" w:fill="auto"/>
          </w:tcPr>
          <w:p w14:paraId="3E3E9661"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18</w:t>
            </w:r>
          </w:p>
        </w:tc>
        <w:tc>
          <w:tcPr>
            <w:tcW w:w="1500" w:type="dxa"/>
            <w:tcBorders>
              <w:top w:val="single" w:sz="8" w:space="0" w:color="000000"/>
              <w:left w:val="single" w:sz="8" w:space="0" w:color="000000"/>
              <w:bottom w:val="single" w:sz="8" w:space="0" w:color="000000"/>
              <w:right w:val="single" w:sz="8" w:space="0" w:color="000000"/>
            </w:tcBorders>
            <w:shd w:val="clear" w:color="auto" w:fill="auto"/>
          </w:tcPr>
          <w:p w14:paraId="021BD34B"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134,115</w:t>
            </w:r>
          </w:p>
        </w:tc>
        <w:tc>
          <w:tcPr>
            <w:tcW w:w="1882" w:type="dxa"/>
            <w:tcBorders>
              <w:top w:val="single" w:sz="8" w:space="0" w:color="000000"/>
              <w:left w:val="single" w:sz="8" w:space="0" w:color="000000"/>
              <w:bottom w:val="single" w:sz="8" w:space="0" w:color="000000"/>
              <w:right w:val="single" w:sz="8" w:space="0" w:color="000000"/>
            </w:tcBorders>
            <w:shd w:val="clear" w:color="auto" w:fill="auto"/>
          </w:tcPr>
          <w:p w14:paraId="0085A5BD"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0.42</w:t>
            </w:r>
          </w:p>
        </w:tc>
        <w:tc>
          <w:tcPr>
            <w:tcW w:w="1883" w:type="dxa"/>
            <w:tcBorders>
              <w:top w:val="single" w:sz="8" w:space="0" w:color="000000"/>
              <w:left w:val="single" w:sz="8" w:space="0" w:color="000000"/>
              <w:bottom w:val="single" w:sz="8" w:space="0" w:color="000000"/>
              <w:right w:val="single" w:sz="8" w:space="0" w:color="000000"/>
            </w:tcBorders>
            <w:shd w:val="clear" w:color="auto" w:fill="auto"/>
          </w:tcPr>
          <w:p w14:paraId="2233EDB3"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1</w:t>
            </w:r>
          </w:p>
        </w:tc>
      </w:tr>
      <w:tr w:rsidR="00171C2D" w:rsidRPr="00171C2D" w14:paraId="7ADD6872" w14:textId="77777777" w:rsidTr="00433AF2">
        <w:tc>
          <w:tcPr>
            <w:tcW w:w="2550" w:type="dxa"/>
            <w:tcBorders>
              <w:top w:val="single" w:sz="8" w:space="0" w:color="000000"/>
              <w:left w:val="single" w:sz="8" w:space="0" w:color="000000"/>
              <w:bottom w:val="single" w:sz="8" w:space="0" w:color="000000"/>
              <w:right w:val="single" w:sz="8" w:space="0" w:color="000000"/>
            </w:tcBorders>
            <w:shd w:val="clear" w:color="auto" w:fill="auto"/>
          </w:tcPr>
          <w:p w14:paraId="5CFD8EEB"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Social Democratic and Labour Party</w:t>
            </w:r>
          </w:p>
        </w:tc>
        <w:tc>
          <w:tcPr>
            <w:tcW w:w="1545" w:type="dxa"/>
            <w:tcBorders>
              <w:top w:val="single" w:sz="8" w:space="0" w:color="000000"/>
              <w:left w:val="single" w:sz="8" w:space="0" w:color="000000"/>
              <w:bottom w:val="single" w:sz="8" w:space="0" w:color="000000"/>
              <w:right w:val="single" w:sz="8" w:space="0" w:color="000000"/>
            </w:tcBorders>
            <w:shd w:val="clear" w:color="auto" w:fill="auto"/>
          </w:tcPr>
          <w:p w14:paraId="0660BD78"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15</w:t>
            </w:r>
          </w:p>
        </w:tc>
        <w:tc>
          <w:tcPr>
            <w:tcW w:w="1500" w:type="dxa"/>
            <w:tcBorders>
              <w:top w:val="single" w:sz="8" w:space="0" w:color="000000"/>
              <w:left w:val="single" w:sz="8" w:space="0" w:color="000000"/>
              <w:bottom w:val="single" w:sz="8" w:space="0" w:color="000000"/>
              <w:right w:val="single" w:sz="8" w:space="0" w:color="000000"/>
            </w:tcBorders>
            <w:shd w:val="clear" w:color="auto" w:fill="auto"/>
          </w:tcPr>
          <w:p w14:paraId="48514DE1"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118,737</w:t>
            </w:r>
          </w:p>
        </w:tc>
        <w:tc>
          <w:tcPr>
            <w:tcW w:w="1882" w:type="dxa"/>
            <w:tcBorders>
              <w:top w:val="single" w:sz="8" w:space="0" w:color="000000"/>
              <w:left w:val="single" w:sz="8" w:space="0" w:color="000000"/>
              <w:bottom w:val="single" w:sz="8" w:space="0" w:color="000000"/>
              <w:right w:val="single" w:sz="8" w:space="0" w:color="000000"/>
            </w:tcBorders>
            <w:shd w:val="clear" w:color="auto" w:fill="auto"/>
          </w:tcPr>
          <w:p w14:paraId="72258DCC"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0.37</w:t>
            </w:r>
          </w:p>
        </w:tc>
        <w:tc>
          <w:tcPr>
            <w:tcW w:w="1883" w:type="dxa"/>
            <w:tcBorders>
              <w:top w:val="single" w:sz="8" w:space="0" w:color="000000"/>
              <w:left w:val="single" w:sz="8" w:space="0" w:color="000000"/>
              <w:bottom w:val="single" w:sz="8" w:space="0" w:color="000000"/>
              <w:right w:val="single" w:sz="8" w:space="0" w:color="000000"/>
            </w:tcBorders>
            <w:shd w:val="clear" w:color="auto" w:fill="auto"/>
          </w:tcPr>
          <w:p w14:paraId="25BDBBE1"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2</w:t>
            </w:r>
          </w:p>
        </w:tc>
      </w:tr>
    </w:tbl>
    <w:p w14:paraId="1AFCE915" w14:textId="75399377" w:rsidR="00B556DE" w:rsidRPr="00171C2D" w:rsidRDefault="000D6BB0">
      <w:pPr>
        <w:jc w:val="both"/>
        <w:rPr>
          <w:rFonts w:ascii="Avenir" w:eastAsia="Avenir" w:hAnsi="Avenir" w:cs="Avenir"/>
          <w:iCs/>
          <w:lang w:val="en-GB"/>
        </w:rPr>
      </w:pPr>
      <w:r w:rsidRPr="00171C2D">
        <w:rPr>
          <w:rFonts w:ascii="Avenir" w:eastAsia="Avenir" w:hAnsi="Avenir" w:cs="Avenir"/>
          <w:i/>
          <w:iCs/>
          <w:highlight w:val="white"/>
          <w:lang w:val="en-GB"/>
        </w:rPr>
        <w:t xml:space="preserve">Source: </w:t>
      </w:r>
      <w:proofErr w:type="spellStart"/>
      <w:r w:rsidRPr="00171C2D">
        <w:rPr>
          <w:rFonts w:ascii="Avenir" w:eastAsia="Avenir" w:hAnsi="Avenir" w:cs="Avenir"/>
          <w:lang w:val="en-GB"/>
        </w:rPr>
        <w:t>Uberoi</w:t>
      </w:r>
      <w:proofErr w:type="spellEnd"/>
      <w:r w:rsidR="00433AF2">
        <w:rPr>
          <w:rFonts w:ascii="Avenir" w:eastAsia="Avenir" w:hAnsi="Avenir" w:cs="Avenir"/>
          <w:lang w:val="en-GB"/>
        </w:rPr>
        <w:t xml:space="preserve"> E.</w:t>
      </w:r>
      <w:r w:rsidRPr="00171C2D">
        <w:rPr>
          <w:rFonts w:ascii="Avenir" w:eastAsia="Avenir" w:hAnsi="Avenir" w:cs="Avenir"/>
          <w:lang w:val="en-GB"/>
        </w:rPr>
        <w:t xml:space="preserve"> et al., </w:t>
      </w:r>
      <w:r w:rsidRPr="00171C2D">
        <w:rPr>
          <w:rFonts w:ascii="Avenir" w:eastAsia="Avenir" w:hAnsi="Avenir" w:cs="Avenir"/>
          <w:i/>
          <w:lang w:val="en-GB"/>
        </w:rPr>
        <w:t>General Election 2019: Results and Analysis</w:t>
      </w:r>
      <w:r w:rsidRPr="00171C2D">
        <w:rPr>
          <w:rFonts w:ascii="Avenir" w:eastAsia="Avenir" w:hAnsi="Avenir" w:cs="Avenir"/>
          <w:iCs/>
          <w:lang w:val="en-GB"/>
        </w:rPr>
        <w:t>, Briefing Paper No. CBP 8749 (London: House of Commons Library, 2020)</w:t>
      </w:r>
      <w:r w:rsidR="00433AF2">
        <w:rPr>
          <w:rFonts w:ascii="Avenir" w:eastAsia="Avenir" w:hAnsi="Avenir" w:cs="Avenir"/>
          <w:iCs/>
          <w:lang w:val="en-GB"/>
        </w:rPr>
        <w:t xml:space="preserve">, </w:t>
      </w:r>
      <w:r w:rsidR="00433AF2">
        <w:t>&lt;</w:t>
      </w:r>
      <w:r w:rsidRPr="00171C2D">
        <w:rPr>
          <w:rFonts w:ascii="Avenir" w:eastAsia="Avenir" w:hAnsi="Avenir" w:cs="Avenir"/>
          <w:lang w:val="en-GB"/>
        </w:rPr>
        <w:t>https://researchbriefings.files.parliament.uk/documents/CBP-8749/CBP-8749.pdf&gt;, accessed 14</w:t>
      </w:r>
      <w:r w:rsidR="00433AF2">
        <w:rPr>
          <w:rFonts w:ascii="Avenir" w:eastAsia="Avenir" w:hAnsi="Avenir" w:cs="Avenir"/>
          <w:lang w:val="en-GB"/>
        </w:rPr>
        <w:t> </w:t>
      </w:r>
      <w:r w:rsidRPr="00171C2D">
        <w:rPr>
          <w:rFonts w:ascii="Avenir" w:eastAsia="Avenir" w:hAnsi="Avenir" w:cs="Avenir"/>
          <w:lang w:val="en-GB"/>
        </w:rPr>
        <w:t>March 2022</w:t>
      </w:r>
      <w:r w:rsidRPr="00433AF2">
        <w:rPr>
          <w:rFonts w:ascii="Avenir" w:eastAsia="Avenir" w:hAnsi="Avenir" w:cs="Avenir"/>
          <w:lang w:val="en-GB"/>
        </w:rPr>
        <w:t>, pp.8</w:t>
      </w:r>
      <w:r w:rsidR="00433AF2">
        <w:rPr>
          <w:rFonts w:ascii="Cambria" w:eastAsia="Avenir" w:hAnsi="Cambria" w:cs="Avenir"/>
          <w:lang w:val="en-GB"/>
        </w:rPr>
        <w:t>–</w:t>
      </w:r>
      <w:r w:rsidRPr="00433AF2">
        <w:rPr>
          <w:rFonts w:ascii="Avenir" w:eastAsia="Avenir" w:hAnsi="Avenir" w:cs="Avenir"/>
          <w:lang w:val="en-GB"/>
        </w:rPr>
        <w:t>9.</w:t>
      </w:r>
      <w:r w:rsidRPr="00171C2D">
        <w:rPr>
          <w:rFonts w:ascii="Avenir" w:eastAsia="Avenir" w:hAnsi="Avenir" w:cs="Avenir"/>
          <w:i/>
          <w:lang w:val="en-GB"/>
        </w:rPr>
        <w:t xml:space="preserve"> </w:t>
      </w:r>
    </w:p>
    <w:p w14:paraId="73869448" w14:textId="77777777" w:rsidR="00B556DE" w:rsidRPr="00171C2D" w:rsidRDefault="00B556DE">
      <w:pPr>
        <w:jc w:val="both"/>
        <w:rPr>
          <w:rFonts w:ascii="Avenir" w:eastAsia="Avenir" w:hAnsi="Avenir" w:cs="Avenir"/>
          <w:highlight w:val="white"/>
          <w:lang w:val="en-GB"/>
        </w:rPr>
      </w:pPr>
    </w:p>
    <w:p w14:paraId="0CF37D34" w14:textId="2CC5C73C" w:rsidR="00B556DE" w:rsidRPr="00171C2D" w:rsidRDefault="000D6BB0">
      <w:pPr>
        <w:jc w:val="both"/>
        <w:rPr>
          <w:rFonts w:ascii="Avenir" w:eastAsia="Avenir" w:hAnsi="Avenir" w:cs="Avenir"/>
          <w:lang w:val="en-GB"/>
        </w:rPr>
      </w:pPr>
      <w:r w:rsidRPr="00171C2D">
        <w:rPr>
          <w:rFonts w:ascii="Avenir" w:eastAsia="Avenir" w:hAnsi="Avenir" w:cs="Avenir"/>
          <w:lang w:val="en-GB"/>
        </w:rPr>
        <w:t>In the UK, elections are regulated by the Electoral Commission, which was established in the year 2000</w:t>
      </w:r>
      <w:r w:rsidR="00B62BCA" w:rsidRPr="00171C2D">
        <w:rPr>
          <w:rFonts w:ascii="Avenir" w:eastAsia="Avenir" w:hAnsi="Avenir" w:cs="Avenir"/>
          <w:lang w:val="en-GB"/>
        </w:rPr>
        <w:t>,</w:t>
      </w:r>
      <w:r w:rsidRPr="00171C2D">
        <w:rPr>
          <w:rFonts w:ascii="Avenir" w:eastAsia="Avenir" w:hAnsi="Avenir" w:cs="Avenir"/>
          <w:lang w:val="en-GB"/>
        </w:rPr>
        <w:t xml:space="preserve"> after the passage of the Political Parties, Elections and Referendums Act 2000 (PPERA). The Commission has the primary responsibility for investigating and sanctioning breaches of PPERA—with powers such as issuing fines (ranging from </w:t>
      </w:r>
      <w:r w:rsidR="009014F3">
        <w:rPr>
          <w:rFonts w:ascii="Avenir" w:eastAsia="Avenir" w:hAnsi="Avenir" w:cs="Avenir"/>
          <w:lang w:val="en-GB"/>
        </w:rPr>
        <w:t>GBP </w:t>
      </w:r>
      <w:r w:rsidRPr="00171C2D">
        <w:rPr>
          <w:rFonts w:ascii="Avenir" w:eastAsia="Avenir" w:hAnsi="Avenir" w:cs="Avenir"/>
          <w:lang w:val="en-GB"/>
        </w:rPr>
        <w:t xml:space="preserve">200 to </w:t>
      </w:r>
      <w:r w:rsidR="009014F3">
        <w:rPr>
          <w:rFonts w:ascii="Avenir" w:eastAsia="Avenir" w:hAnsi="Avenir" w:cs="Avenir"/>
          <w:lang w:val="en-GB"/>
        </w:rPr>
        <w:t>GBP </w:t>
      </w:r>
      <w:r w:rsidRPr="00171C2D">
        <w:rPr>
          <w:rFonts w:ascii="Avenir" w:eastAsia="Avenir" w:hAnsi="Avenir" w:cs="Avenir"/>
          <w:lang w:val="en-GB"/>
        </w:rPr>
        <w:t>20,000), ‘compliance and restoration notices’ (requesting particular action be taken to ensure compliance) and ‘stop notices’ (requesting a particular action is stopped). Criminal sanctions are generally a matter for the police (Electoral Commission 2021) and courts. Investigations are first undertaken by the police (who can receive guidance from the Electoral Commission</w:t>
      </w:r>
      <w:r w:rsidR="00B62BCA" w:rsidRPr="00171C2D">
        <w:rPr>
          <w:rFonts w:ascii="Avenir" w:eastAsia="Avenir" w:hAnsi="Avenir" w:cs="Avenir"/>
          <w:lang w:val="en-GB"/>
        </w:rPr>
        <w:t>) before</w:t>
      </w:r>
      <w:r w:rsidRPr="00171C2D">
        <w:rPr>
          <w:rFonts w:ascii="Avenir" w:eastAsia="Avenir" w:hAnsi="Avenir" w:cs="Avenir"/>
          <w:lang w:val="en-GB"/>
        </w:rPr>
        <w:t xml:space="preserve"> findings are presented to the Crown Prosecution Service (CPS). The CPS then applies a ‘two-stage test’ to establish, first, whether the evidence provides a realistic prospect of conviction, and second, whether prosecution is in the public interest. </w:t>
      </w:r>
    </w:p>
    <w:p w14:paraId="7416EEDB" w14:textId="77777777" w:rsidR="00B556DE" w:rsidRPr="00171C2D" w:rsidRDefault="00B556DE">
      <w:pPr>
        <w:jc w:val="both"/>
        <w:rPr>
          <w:rFonts w:ascii="Avenir" w:eastAsia="Avenir" w:hAnsi="Avenir" w:cs="Avenir"/>
          <w:lang w:val="en-GB"/>
        </w:rPr>
      </w:pPr>
    </w:p>
    <w:p w14:paraId="2ED645E4" w14:textId="1B7634FC" w:rsidR="00B556DE" w:rsidRPr="00171C2D" w:rsidRDefault="000D6BB0">
      <w:pPr>
        <w:jc w:val="both"/>
        <w:rPr>
          <w:rFonts w:ascii="Avenir" w:eastAsia="Avenir" w:hAnsi="Avenir" w:cs="Avenir"/>
          <w:lang w:val="en-GB"/>
        </w:rPr>
      </w:pPr>
      <w:r w:rsidRPr="00171C2D">
        <w:rPr>
          <w:rFonts w:ascii="Avenir" w:eastAsia="Avenir" w:hAnsi="Avenir" w:cs="Avenir"/>
          <w:lang w:val="en-GB"/>
        </w:rPr>
        <w:lastRenderedPageBreak/>
        <w:t>Many political finance rules in the UK have been in place for over 100 years. Indeed, certain legal principles (such as a cap on spending at the constituency level) were initially set out in the Corrupt and Illegal Practices (Prevention) Act 1883. That said, there are two primary pieces of legislation that guide British political finance—the Representation of the People Act 1983 (RPA) and PPERA. In the very simplest terms, PPERA regulates party (</w:t>
      </w:r>
      <w:proofErr w:type="gramStart"/>
      <w:r w:rsidRPr="00171C2D">
        <w:rPr>
          <w:rFonts w:ascii="Avenir" w:eastAsia="Avenir" w:hAnsi="Avenir" w:cs="Avenir"/>
          <w:lang w:val="en-GB"/>
        </w:rPr>
        <w:t>i.e.</w:t>
      </w:r>
      <w:proofErr w:type="gramEnd"/>
      <w:r w:rsidRPr="00171C2D">
        <w:rPr>
          <w:rFonts w:ascii="Avenir" w:eastAsia="Avenir" w:hAnsi="Avenir" w:cs="Avenir"/>
          <w:lang w:val="en-GB"/>
        </w:rPr>
        <w:t xml:space="preserve"> national) spending and the RPA covers candidate (i.e. local) spending. This leads to a piecemeal, fragmented and often confusing landscape of electoral law. It has been described as resembling ‘a Jane Austen-style intricate dance, where all sorts of daring and dicey moves are permissible, provided you know where to step and when, and how not to upset the crowds’ (Ball 2020). For its purposes, this report focuses on the major principles of the regulatory framework, as laid out in PPERA and the RPA. The analysis looks at spending declared by national parties as opposed to local candidate spending (</w:t>
      </w:r>
      <w:r w:rsidR="00B62BCA" w:rsidRPr="00171C2D">
        <w:rPr>
          <w:rFonts w:ascii="Avenir" w:eastAsia="Avenir" w:hAnsi="Avenir" w:cs="Avenir"/>
          <w:lang w:val="en-GB"/>
        </w:rPr>
        <w:t>i.e.,</w:t>
      </w:r>
      <w:r w:rsidRPr="00171C2D">
        <w:rPr>
          <w:rFonts w:ascii="Avenir" w:eastAsia="Avenir" w:hAnsi="Avenir" w:cs="Avenir"/>
          <w:lang w:val="en-GB"/>
        </w:rPr>
        <w:t xml:space="preserve"> as regulated mostly under PPERA).</w:t>
      </w:r>
    </w:p>
    <w:p w14:paraId="6D43F8E4" w14:textId="77777777" w:rsidR="00B556DE" w:rsidRPr="00171C2D" w:rsidRDefault="00B556DE">
      <w:pPr>
        <w:jc w:val="both"/>
        <w:rPr>
          <w:rFonts w:ascii="Avenir" w:eastAsia="Avenir" w:hAnsi="Avenir" w:cs="Avenir"/>
          <w:lang w:val="en-GB"/>
        </w:rPr>
      </w:pPr>
    </w:p>
    <w:p w14:paraId="63B04474" w14:textId="77777777" w:rsidR="00B556DE" w:rsidRPr="00171C2D" w:rsidRDefault="000D6BB0">
      <w:pPr>
        <w:pStyle w:val="Heading3"/>
        <w:numPr>
          <w:ilvl w:val="1"/>
          <w:numId w:val="58"/>
        </w:numPr>
        <w:ind w:left="426"/>
        <w:rPr>
          <w:rFonts w:ascii="Avenir" w:eastAsia="Avenir" w:hAnsi="Avenir" w:cs="Avenir"/>
          <w:color w:val="auto"/>
          <w:lang w:val="en-GB"/>
        </w:rPr>
      </w:pPr>
      <w:r w:rsidRPr="00171C2D">
        <w:rPr>
          <w:rFonts w:ascii="Avenir" w:hAnsi="Avenir"/>
          <w:color w:val="auto"/>
          <w:lang w:val="en-GB"/>
        </w:rPr>
        <w:t>What are the rules on spending in the UK?</w:t>
      </w:r>
    </w:p>
    <w:p w14:paraId="7C3EF944" w14:textId="542FB904"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There is tightly controlled regulation of spending within the UK’s existing electoral law. In general elections, there are limits on spending at both the party and candidate levels. </w:t>
      </w:r>
      <w:r w:rsidR="00635B61" w:rsidRPr="00171C2D">
        <w:rPr>
          <w:rFonts w:ascii="Avenir" w:eastAsia="Avenir" w:hAnsi="Avenir" w:cs="Avenir"/>
          <w:lang w:val="en-GB"/>
        </w:rPr>
        <w:t xml:space="preserve">Party spending </w:t>
      </w:r>
      <w:r w:rsidRPr="00171C2D">
        <w:rPr>
          <w:rFonts w:ascii="Avenir" w:eastAsia="Avenir" w:hAnsi="Avenir" w:cs="Avenir"/>
          <w:lang w:val="en-GB"/>
        </w:rPr>
        <w:t xml:space="preserve">is calculated as </w:t>
      </w:r>
      <w:r w:rsidR="009014F3">
        <w:rPr>
          <w:rFonts w:ascii="Avenir" w:eastAsia="Avenir" w:hAnsi="Avenir" w:cs="Avenir"/>
          <w:lang w:val="en-GB"/>
        </w:rPr>
        <w:t>GBP </w:t>
      </w:r>
      <w:r w:rsidRPr="00171C2D">
        <w:rPr>
          <w:rFonts w:ascii="Avenir" w:eastAsia="Avenir" w:hAnsi="Avenir" w:cs="Avenir"/>
          <w:lang w:val="en-GB"/>
        </w:rPr>
        <w:t xml:space="preserve">30,000 for each seat a party contests, which—given that there are currently 650 constituencies—gives a spending limit of </w:t>
      </w:r>
      <w:r w:rsidR="009014F3">
        <w:rPr>
          <w:rFonts w:ascii="Avenir" w:eastAsia="Avenir" w:hAnsi="Avenir" w:cs="Avenir"/>
          <w:lang w:val="en-GB"/>
        </w:rPr>
        <w:t>GBP </w:t>
      </w:r>
      <w:r w:rsidRPr="00171C2D">
        <w:rPr>
          <w:rFonts w:ascii="Avenir" w:eastAsia="Avenir" w:hAnsi="Avenir" w:cs="Avenir"/>
          <w:lang w:val="en-GB"/>
        </w:rPr>
        <w:t>19.5 million.</w:t>
      </w:r>
      <w:r w:rsidRPr="00171C2D">
        <w:rPr>
          <w:rStyle w:val="FootnoteAnchor"/>
          <w:rFonts w:ascii="Avenir" w:eastAsia="Avenir" w:hAnsi="Avenir" w:cs="Avenir"/>
          <w:lang w:val="en-GB"/>
        </w:rPr>
        <w:footnoteReference w:id="4"/>
      </w:r>
      <w:r w:rsidRPr="00171C2D">
        <w:rPr>
          <w:rFonts w:ascii="Avenir" w:eastAsia="Avenir" w:hAnsi="Avenir" w:cs="Avenir"/>
          <w:lang w:val="en-GB"/>
        </w:rPr>
        <w:t xml:space="preserve"> For candidates, there are two spending limits—one for the short campaign, and one for the long campaign—and these vary given the number of electors </w:t>
      </w:r>
      <w:r w:rsidR="00B62BCA" w:rsidRPr="00171C2D">
        <w:rPr>
          <w:rFonts w:ascii="Avenir" w:eastAsia="Avenir" w:hAnsi="Avenir" w:cs="Avenir"/>
          <w:lang w:val="en-GB"/>
        </w:rPr>
        <w:t>in each</w:t>
      </w:r>
      <w:r w:rsidRPr="00171C2D">
        <w:rPr>
          <w:rFonts w:ascii="Avenir" w:eastAsia="Avenir" w:hAnsi="Avenir" w:cs="Avenir"/>
          <w:lang w:val="en-GB"/>
        </w:rPr>
        <w:t xml:space="preserve"> constituency. In terms of the campaign period for candidates, the short campaign officially begins when parliament dissolves in advance of an election, while the long campaign relates to the (approximately) three-month period preceding that point.</w:t>
      </w:r>
      <w:r w:rsidRPr="00171C2D">
        <w:rPr>
          <w:rStyle w:val="FootnoteAnchor"/>
          <w:rFonts w:ascii="Avenir" w:eastAsia="Avenir" w:hAnsi="Avenir" w:cs="Avenir"/>
          <w:lang w:val="en-GB"/>
        </w:rPr>
        <w:footnoteReference w:id="5"/>
      </w:r>
      <w:r w:rsidRPr="00171C2D">
        <w:rPr>
          <w:rFonts w:ascii="Avenir" w:eastAsia="Avenir" w:hAnsi="Avenir" w:cs="Avenir"/>
          <w:lang w:val="en-GB"/>
        </w:rPr>
        <w:t xml:space="preserve"> For parties (</w:t>
      </w:r>
      <w:proofErr w:type="gramStart"/>
      <w:r w:rsidRPr="00171C2D">
        <w:rPr>
          <w:rFonts w:ascii="Avenir" w:eastAsia="Avenir" w:hAnsi="Avenir" w:cs="Avenir"/>
          <w:lang w:val="en-GB"/>
        </w:rPr>
        <w:t>i.e.</w:t>
      </w:r>
      <w:proofErr w:type="gramEnd"/>
      <w:r w:rsidRPr="00171C2D">
        <w:rPr>
          <w:rFonts w:ascii="Avenir" w:eastAsia="Avenir" w:hAnsi="Avenir" w:cs="Avenir"/>
          <w:lang w:val="en-GB"/>
        </w:rPr>
        <w:t xml:space="preserve"> national spending), there is usually a regulated period of 365 days, ending on the day of the election (at the 2019 General Election, the regulated period began on 13 December 2018).</w:t>
      </w:r>
    </w:p>
    <w:p w14:paraId="16EDB1D2" w14:textId="77777777"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 </w:t>
      </w:r>
    </w:p>
    <w:p w14:paraId="37CB928A" w14:textId="2B301BA7"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Spending on elections by political parties, candidates and third parties must be reported to the Electoral Commission. For parties, this must include details such as receipts and invoices for any (campaign) spend that occurs over </w:t>
      </w:r>
      <w:r w:rsidR="009014F3">
        <w:rPr>
          <w:rFonts w:ascii="Avenir" w:eastAsia="Avenir" w:hAnsi="Avenir" w:cs="Avenir"/>
          <w:lang w:val="en-GB"/>
        </w:rPr>
        <w:t>GBP </w:t>
      </w:r>
      <w:r w:rsidRPr="00171C2D">
        <w:rPr>
          <w:rFonts w:ascii="Avenir" w:eastAsia="Avenir" w:hAnsi="Avenir" w:cs="Avenir"/>
          <w:lang w:val="en-GB"/>
        </w:rPr>
        <w:t>200 within the regulated period (</w:t>
      </w:r>
      <w:proofErr w:type="gramStart"/>
      <w:r w:rsidRPr="00171C2D">
        <w:rPr>
          <w:rFonts w:ascii="Avenir" w:eastAsia="Avenir" w:hAnsi="Avenir" w:cs="Avenir"/>
          <w:lang w:val="en-GB"/>
        </w:rPr>
        <w:t>i.e.</w:t>
      </w:r>
      <w:proofErr w:type="gramEnd"/>
      <w:r w:rsidRPr="00171C2D">
        <w:rPr>
          <w:rFonts w:ascii="Avenir" w:eastAsia="Avenir" w:hAnsi="Avenir" w:cs="Avenir"/>
          <w:lang w:val="en-GB"/>
        </w:rPr>
        <w:t xml:space="preserve"> up to 365 days before the election). These invoices are made available on the Electoral Commission’s political finance database (Electoral Commission 2022) and can be viewed as pdf files. When the spend is recorded, it is done so under one of 10 categories that provide a broad overview of the different kinds of activities on which money is spent: </w:t>
      </w:r>
    </w:p>
    <w:p w14:paraId="17C19C64" w14:textId="77777777" w:rsidR="00B556DE" w:rsidRPr="00171C2D" w:rsidRDefault="000D6BB0">
      <w:pPr>
        <w:pStyle w:val="ListParagraph"/>
        <w:numPr>
          <w:ilvl w:val="0"/>
          <w:numId w:val="55"/>
        </w:numPr>
        <w:jc w:val="both"/>
        <w:rPr>
          <w:rFonts w:ascii="Avenir" w:eastAsia="Avenir" w:hAnsi="Avenir" w:cs="Avenir"/>
          <w:lang w:val="en-GB"/>
        </w:rPr>
      </w:pPr>
      <w:r w:rsidRPr="00171C2D">
        <w:rPr>
          <w:rFonts w:ascii="Avenir" w:eastAsia="Avenir" w:hAnsi="Avenir" w:cs="Avenir"/>
          <w:lang w:val="en-GB"/>
        </w:rPr>
        <w:t xml:space="preserve">unsolicited material to </w:t>
      </w:r>
      <w:proofErr w:type="gramStart"/>
      <w:r w:rsidRPr="00171C2D">
        <w:rPr>
          <w:rFonts w:ascii="Avenir" w:eastAsia="Avenir" w:hAnsi="Avenir" w:cs="Avenir"/>
          <w:lang w:val="en-GB"/>
        </w:rPr>
        <w:t>electors;</w:t>
      </w:r>
      <w:proofErr w:type="gramEnd"/>
      <w:r w:rsidRPr="00171C2D">
        <w:rPr>
          <w:rFonts w:ascii="Avenir" w:eastAsia="Avenir" w:hAnsi="Avenir" w:cs="Avenir"/>
          <w:lang w:val="en-GB"/>
        </w:rPr>
        <w:t xml:space="preserve"> </w:t>
      </w:r>
    </w:p>
    <w:p w14:paraId="79995D26" w14:textId="77777777" w:rsidR="00B556DE" w:rsidRPr="00171C2D" w:rsidRDefault="000D6BB0">
      <w:pPr>
        <w:pStyle w:val="ListParagraph"/>
        <w:numPr>
          <w:ilvl w:val="0"/>
          <w:numId w:val="55"/>
        </w:numPr>
        <w:jc w:val="both"/>
        <w:rPr>
          <w:rFonts w:ascii="Avenir" w:eastAsia="Avenir" w:hAnsi="Avenir" w:cs="Avenir"/>
          <w:lang w:val="en-GB"/>
        </w:rPr>
      </w:pPr>
      <w:r w:rsidRPr="00171C2D">
        <w:rPr>
          <w:rFonts w:ascii="Avenir" w:eastAsia="Avenir" w:hAnsi="Avenir" w:cs="Avenir"/>
          <w:lang w:val="en-GB"/>
        </w:rPr>
        <w:t>market research/</w:t>
      </w:r>
      <w:proofErr w:type="gramStart"/>
      <w:r w:rsidRPr="00171C2D">
        <w:rPr>
          <w:rFonts w:ascii="Avenir" w:eastAsia="Avenir" w:hAnsi="Avenir" w:cs="Avenir"/>
          <w:lang w:val="en-GB"/>
        </w:rPr>
        <w:t>canvassing;</w:t>
      </w:r>
      <w:proofErr w:type="gramEnd"/>
      <w:r w:rsidRPr="00171C2D">
        <w:rPr>
          <w:rFonts w:ascii="Avenir" w:eastAsia="Avenir" w:hAnsi="Avenir" w:cs="Avenir"/>
          <w:lang w:val="en-GB"/>
        </w:rPr>
        <w:t xml:space="preserve"> </w:t>
      </w:r>
    </w:p>
    <w:p w14:paraId="0B977D2F" w14:textId="77777777" w:rsidR="00B556DE" w:rsidRPr="00171C2D" w:rsidRDefault="000D6BB0">
      <w:pPr>
        <w:pStyle w:val="ListParagraph"/>
        <w:numPr>
          <w:ilvl w:val="0"/>
          <w:numId w:val="55"/>
        </w:numPr>
        <w:jc w:val="both"/>
        <w:rPr>
          <w:rFonts w:ascii="Avenir" w:eastAsia="Avenir" w:hAnsi="Avenir" w:cs="Avenir"/>
          <w:lang w:val="en-GB"/>
        </w:rPr>
      </w:pPr>
      <w:r w:rsidRPr="00171C2D">
        <w:rPr>
          <w:rFonts w:ascii="Avenir" w:eastAsia="Avenir" w:hAnsi="Avenir" w:cs="Avenir"/>
          <w:lang w:val="en-GB"/>
        </w:rPr>
        <w:t xml:space="preserve">rallies and other </w:t>
      </w:r>
      <w:proofErr w:type="gramStart"/>
      <w:r w:rsidRPr="00171C2D">
        <w:rPr>
          <w:rFonts w:ascii="Avenir" w:eastAsia="Avenir" w:hAnsi="Avenir" w:cs="Avenir"/>
          <w:lang w:val="en-GB"/>
        </w:rPr>
        <w:t>events;</w:t>
      </w:r>
      <w:proofErr w:type="gramEnd"/>
      <w:r w:rsidRPr="00171C2D">
        <w:rPr>
          <w:rFonts w:ascii="Avenir" w:eastAsia="Avenir" w:hAnsi="Avenir" w:cs="Avenir"/>
          <w:lang w:val="en-GB"/>
        </w:rPr>
        <w:t xml:space="preserve"> </w:t>
      </w:r>
    </w:p>
    <w:p w14:paraId="4DAA29A6" w14:textId="77777777" w:rsidR="00B556DE" w:rsidRPr="00171C2D" w:rsidRDefault="000D6BB0">
      <w:pPr>
        <w:pStyle w:val="ListParagraph"/>
        <w:numPr>
          <w:ilvl w:val="0"/>
          <w:numId w:val="55"/>
        </w:numPr>
        <w:jc w:val="both"/>
        <w:rPr>
          <w:rFonts w:ascii="Avenir" w:eastAsia="Avenir" w:hAnsi="Avenir" w:cs="Avenir"/>
          <w:lang w:val="en-GB"/>
        </w:rPr>
      </w:pPr>
      <w:proofErr w:type="gramStart"/>
      <w:r w:rsidRPr="00171C2D">
        <w:rPr>
          <w:rFonts w:ascii="Avenir" w:eastAsia="Avenir" w:hAnsi="Avenir" w:cs="Avenir"/>
          <w:lang w:val="en-GB"/>
        </w:rPr>
        <w:t>transport;</w:t>
      </w:r>
      <w:proofErr w:type="gramEnd"/>
      <w:r w:rsidRPr="00171C2D">
        <w:rPr>
          <w:rFonts w:ascii="Avenir" w:eastAsia="Avenir" w:hAnsi="Avenir" w:cs="Avenir"/>
          <w:lang w:val="en-GB"/>
        </w:rPr>
        <w:t xml:space="preserve"> </w:t>
      </w:r>
    </w:p>
    <w:p w14:paraId="140C9A47" w14:textId="77777777" w:rsidR="00B556DE" w:rsidRPr="00171C2D" w:rsidRDefault="000D6BB0">
      <w:pPr>
        <w:pStyle w:val="ListParagraph"/>
        <w:numPr>
          <w:ilvl w:val="0"/>
          <w:numId w:val="55"/>
        </w:numPr>
        <w:jc w:val="both"/>
        <w:rPr>
          <w:rFonts w:ascii="Avenir" w:eastAsia="Avenir" w:hAnsi="Avenir" w:cs="Avenir"/>
          <w:lang w:val="en-GB"/>
        </w:rPr>
      </w:pPr>
      <w:proofErr w:type="gramStart"/>
      <w:r w:rsidRPr="00171C2D">
        <w:rPr>
          <w:rFonts w:ascii="Avenir" w:eastAsia="Avenir" w:hAnsi="Avenir" w:cs="Avenir"/>
          <w:lang w:val="en-GB"/>
        </w:rPr>
        <w:t>media;</w:t>
      </w:r>
      <w:proofErr w:type="gramEnd"/>
      <w:r w:rsidRPr="00171C2D">
        <w:rPr>
          <w:rFonts w:ascii="Avenir" w:eastAsia="Avenir" w:hAnsi="Avenir" w:cs="Avenir"/>
          <w:lang w:val="en-GB"/>
        </w:rPr>
        <w:t xml:space="preserve"> </w:t>
      </w:r>
    </w:p>
    <w:p w14:paraId="42874885" w14:textId="45F0DD2D" w:rsidR="00B556DE" w:rsidRPr="00171C2D" w:rsidRDefault="000D6BB0">
      <w:pPr>
        <w:pStyle w:val="ListParagraph"/>
        <w:numPr>
          <w:ilvl w:val="0"/>
          <w:numId w:val="55"/>
        </w:numPr>
        <w:jc w:val="both"/>
        <w:rPr>
          <w:rFonts w:ascii="Avenir" w:eastAsia="Avenir" w:hAnsi="Avenir" w:cs="Avenir"/>
          <w:lang w:val="en-GB"/>
        </w:rPr>
      </w:pPr>
      <w:proofErr w:type="gramStart"/>
      <w:r w:rsidRPr="00171C2D">
        <w:rPr>
          <w:rFonts w:ascii="Avenir" w:eastAsia="Avenir" w:hAnsi="Avenir" w:cs="Avenir"/>
          <w:lang w:val="en-GB"/>
        </w:rPr>
        <w:t>advertising;</w:t>
      </w:r>
      <w:proofErr w:type="gramEnd"/>
      <w:r w:rsidRPr="00171C2D">
        <w:rPr>
          <w:rFonts w:ascii="Avenir" w:eastAsia="Avenir" w:hAnsi="Avenir" w:cs="Avenir"/>
          <w:lang w:val="en-GB"/>
        </w:rPr>
        <w:t xml:space="preserve"> </w:t>
      </w:r>
    </w:p>
    <w:p w14:paraId="5AF5EF08" w14:textId="77777777" w:rsidR="00B556DE" w:rsidRPr="00171C2D" w:rsidRDefault="000D6BB0">
      <w:pPr>
        <w:pStyle w:val="ListParagraph"/>
        <w:numPr>
          <w:ilvl w:val="0"/>
          <w:numId w:val="55"/>
        </w:numPr>
        <w:jc w:val="both"/>
        <w:rPr>
          <w:rFonts w:ascii="Avenir" w:eastAsia="Avenir" w:hAnsi="Avenir" w:cs="Avenir"/>
          <w:lang w:val="en-GB"/>
        </w:rPr>
      </w:pPr>
      <w:r w:rsidRPr="00171C2D">
        <w:rPr>
          <w:rFonts w:ascii="Avenir" w:eastAsia="Avenir" w:hAnsi="Avenir" w:cs="Avenir"/>
          <w:lang w:val="en-GB"/>
        </w:rPr>
        <w:t xml:space="preserve">overheads and general </w:t>
      </w:r>
      <w:proofErr w:type="gramStart"/>
      <w:r w:rsidRPr="00171C2D">
        <w:rPr>
          <w:rFonts w:ascii="Avenir" w:eastAsia="Avenir" w:hAnsi="Avenir" w:cs="Avenir"/>
          <w:lang w:val="en-GB"/>
        </w:rPr>
        <w:t>administration;</w:t>
      </w:r>
      <w:proofErr w:type="gramEnd"/>
      <w:r w:rsidRPr="00171C2D">
        <w:rPr>
          <w:rFonts w:ascii="Avenir" w:eastAsia="Avenir" w:hAnsi="Avenir" w:cs="Avenir"/>
          <w:lang w:val="en-GB"/>
        </w:rPr>
        <w:t xml:space="preserve"> </w:t>
      </w:r>
    </w:p>
    <w:p w14:paraId="27DFE225" w14:textId="77777777" w:rsidR="00B556DE" w:rsidRPr="00171C2D" w:rsidRDefault="000D6BB0">
      <w:pPr>
        <w:pStyle w:val="ListParagraph"/>
        <w:numPr>
          <w:ilvl w:val="0"/>
          <w:numId w:val="55"/>
        </w:numPr>
        <w:jc w:val="both"/>
        <w:rPr>
          <w:rFonts w:ascii="Avenir" w:eastAsia="Avenir" w:hAnsi="Avenir" w:cs="Avenir"/>
          <w:lang w:val="en-GB"/>
        </w:rPr>
      </w:pPr>
      <w:r w:rsidRPr="00171C2D">
        <w:rPr>
          <w:rFonts w:ascii="Avenir" w:eastAsia="Avenir" w:hAnsi="Avenir" w:cs="Avenir"/>
          <w:lang w:val="en-GB"/>
        </w:rPr>
        <w:lastRenderedPageBreak/>
        <w:t xml:space="preserve">manifesto or referendum </w:t>
      </w:r>
      <w:proofErr w:type="gramStart"/>
      <w:r w:rsidRPr="00171C2D">
        <w:rPr>
          <w:rFonts w:ascii="Avenir" w:eastAsia="Avenir" w:hAnsi="Avenir" w:cs="Avenir"/>
          <w:lang w:val="en-GB"/>
        </w:rPr>
        <w:t>material;</w:t>
      </w:r>
      <w:proofErr w:type="gramEnd"/>
      <w:r w:rsidRPr="00171C2D">
        <w:rPr>
          <w:rFonts w:ascii="Avenir" w:eastAsia="Avenir" w:hAnsi="Avenir" w:cs="Avenir"/>
          <w:lang w:val="en-GB"/>
        </w:rPr>
        <w:t xml:space="preserve"> </w:t>
      </w:r>
    </w:p>
    <w:p w14:paraId="52F36FEB" w14:textId="77777777" w:rsidR="00B556DE" w:rsidRPr="00171C2D" w:rsidRDefault="000D6BB0">
      <w:pPr>
        <w:pStyle w:val="ListParagraph"/>
        <w:numPr>
          <w:ilvl w:val="0"/>
          <w:numId w:val="55"/>
        </w:numPr>
        <w:jc w:val="both"/>
        <w:rPr>
          <w:rFonts w:ascii="Avenir" w:eastAsia="Avenir" w:hAnsi="Avenir" w:cs="Avenir"/>
          <w:lang w:val="en-GB"/>
        </w:rPr>
      </w:pPr>
      <w:r w:rsidRPr="00171C2D">
        <w:rPr>
          <w:rFonts w:ascii="Avenir" w:eastAsia="Avenir" w:hAnsi="Avenir" w:cs="Avenir"/>
          <w:lang w:val="en-GB"/>
        </w:rPr>
        <w:t>campaign broadcasts (</w:t>
      </w:r>
      <w:proofErr w:type="gramStart"/>
      <w:r w:rsidRPr="00171C2D">
        <w:rPr>
          <w:rFonts w:ascii="Avenir" w:eastAsia="Avenir" w:hAnsi="Avenir" w:cs="Avenir"/>
          <w:lang w:val="en-GB"/>
        </w:rPr>
        <w:t>i.e.</w:t>
      </w:r>
      <w:proofErr w:type="gramEnd"/>
      <w:r w:rsidRPr="00171C2D">
        <w:rPr>
          <w:rFonts w:ascii="Avenir" w:eastAsia="Avenir" w:hAnsi="Avenir" w:cs="Avenir"/>
          <w:lang w:val="en-GB"/>
        </w:rPr>
        <w:t xml:space="preserve"> election broadcasts on television); and </w:t>
      </w:r>
    </w:p>
    <w:p w14:paraId="60197957" w14:textId="77777777" w:rsidR="00B556DE" w:rsidRPr="00171C2D" w:rsidRDefault="000D6BB0">
      <w:pPr>
        <w:pStyle w:val="ListParagraph"/>
        <w:numPr>
          <w:ilvl w:val="0"/>
          <w:numId w:val="55"/>
        </w:numPr>
        <w:jc w:val="both"/>
        <w:rPr>
          <w:rFonts w:ascii="Avenir" w:eastAsia="Avenir" w:hAnsi="Avenir" w:cs="Avenir"/>
          <w:lang w:val="en-GB"/>
        </w:rPr>
      </w:pPr>
      <w:r w:rsidRPr="00171C2D">
        <w:rPr>
          <w:rFonts w:ascii="Avenir" w:eastAsia="Avenir" w:hAnsi="Avenir" w:cs="Avenir"/>
          <w:lang w:val="en-GB"/>
        </w:rPr>
        <w:t>balancing items.</w:t>
      </w:r>
      <w:r w:rsidRPr="00171C2D">
        <w:rPr>
          <w:rStyle w:val="FootnoteAnchor"/>
          <w:rFonts w:ascii="Avenir" w:hAnsi="Avenir"/>
          <w:lang w:val="en-GB"/>
        </w:rPr>
        <w:footnoteReference w:id="6"/>
      </w:r>
      <w:r w:rsidRPr="00171C2D">
        <w:rPr>
          <w:rFonts w:ascii="Avenir" w:eastAsia="Avenir" w:hAnsi="Avenir" w:cs="Avenir"/>
          <w:lang w:val="en-GB"/>
        </w:rPr>
        <w:t xml:space="preserve"> </w:t>
      </w:r>
    </w:p>
    <w:p w14:paraId="4C50D8D2" w14:textId="77777777" w:rsidR="00B556DE" w:rsidRPr="00171C2D" w:rsidRDefault="00B556DE">
      <w:pPr>
        <w:jc w:val="both"/>
        <w:rPr>
          <w:rFonts w:ascii="Avenir" w:eastAsia="Avenir" w:hAnsi="Avenir" w:cs="Avenir"/>
          <w:lang w:val="en-GB"/>
        </w:rPr>
      </w:pPr>
    </w:p>
    <w:p w14:paraId="549ABE70" w14:textId="77777777"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These categories are one of the main areas of investigation of this </w:t>
      </w:r>
      <w:commentRangeStart w:id="2"/>
      <w:r w:rsidRPr="00171C2D">
        <w:rPr>
          <w:rFonts w:ascii="Avenir" w:eastAsia="Avenir" w:hAnsi="Avenir" w:cs="Avenir"/>
          <w:lang w:val="en-GB"/>
        </w:rPr>
        <w:t>report</w:t>
      </w:r>
      <w:commentRangeEnd w:id="2"/>
      <w:r w:rsidR="00BD56F4">
        <w:rPr>
          <w:rStyle w:val="CommentReference"/>
        </w:rPr>
        <w:commentReference w:id="2"/>
      </w:r>
      <w:r w:rsidRPr="00171C2D">
        <w:rPr>
          <w:rFonts w:ascii="Avenir" w:eastAsia="Avenir" w:hAnsi="Avenir" w:cs="Avenir"/>
          <w:lang w:val="en-GB"/>
        </w:rPr>
        <w:t xml:space="preserve">. </w:t>
      </w:r>
    </w:p>
    <w:p w14:paraId="4F88B9D6" w14:textId="77777777"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 </w:t>
      </w:r>
    </w:p>
    <w:p w14:paraId="0702B416" w14:textId="77777777" w:rsidR="00433AF2" w:rsidRDefault="00433AF2" w:rsidP="00433AF2">
      <w:pPr>
        <w:pStyle w:val="Heading2"/>
        <w:numPr>
          <w:ilvl w:val="0"/>
          <w:numId w:val="0"/>
        </w:numPr>
        <w:ind w:left="360"/>
        <w:rPr>
          <w:lang w:val="en-GB"/>
        </w:rPr>
      </w:pPr>
      <w:r>
        <w:rPr>
          <w:lang w:val="en-GB"/>
        </w:rPr>
        <w:t>Chapter 2</w:t>
      </w:r>
    </w:p>
    <w:p w14:paraId="4B4E16D7" w14:textId="1A5D43E7" w:rsidR="00B556DE" w:rsidRPr="00171C2D" w:rsidRDefault="000D6BB0" w:rsidP="00433AF2">
      <w:pPr>
        <w:pStyle w:val="Heading2"/>
        <w:numPr>
          <w:ilvl w:val="0"/>
          <w:numId w:val="0"/>
        </w:numPr>
        <w:ind w:left="360"/>
        <w:rPr>
          <w:lang w:val="en-GB"/>
        </w:rPr>
      </w:pPr>
      <w:r w:rsidRPr="00171C2D">
        <w:rPr>
          <w:lang w:val="en-GB"/>
        </w:rPr>
        <w:t>What does the UK Electoral Commission’s political finance database reveal about spending at the 2019 General Election?</w:t>
      </w:r>
    </w:p>
    <w:p w14:paraId="0DCF169E" w14:textId="437B6F1A"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The political finance database provides the details of the spending declared by every registered political party at every general election since 2001 (the transparency regime was significantly boosted after the implementation of PPERA before the 2001 General Election). As Figure 1 shows, spending is dominated by the two main parties (the Conservatives and Labour)—but particularly the Conservative Party; only in 2005 did Labour outspend the Conservatives. However, in recent years, the Liberal Democrats, as the main challenger party, have begun to compete financially. 2019 was the first year that the Liberal Democrats (at </w:t>
      </w:r>
      <w:r w:rsidR="009014F3">
        <w:rPr>
          <w:rFonts w:ascii="Avenir" w:eastAsia="Avenir" w:hAnsi="Avenir" w:cs="Avenir"/>
          <w:lang w:val="en-GB"/>
        </w:rPr>
        <w:t>GBP </w:t>
      </w:r>
      <w:r w:rsidRPr="00171C2D">
        <w:rPr>
          <w:rFonts w:ascii="Avenir" w:eastAsia="Avenir" w:hAnsi="Avenir" w:cs="Avenir"/>
          <w:lang w:val="en-GB"/>
        </w:rPr>
        <w:t>14.4 million) spent more than the Labour Party (</w:t>
      </w:r>
      <w:r w:rsidR="009014F3">
        <w:rPr>
          <w:rFonts w:ascii="Avenir" w:eastAsia="Avenir" w:hAnsi="Avenir" w:cs="Avenir"/>
          <w:lang w:val="en-GB"/>
        </w:rPr>
        <w:t>GBP </w:t>
      </w:r>
      <w:r w:rsidRPr="00171C2D">
        <w:rPr>
          <w:rFonts w:ascii="Avenir" w:eastAsia="Avenir" w:hAnsi="Avenir" w:cs="Avenir"/>
          <w:lang w:val="en-GB"/>
        </w:rPr>
        <w:t>12 million), but both were still behind the Conservatives (</w:t>
      </w:r>
      <w:r w:rsidR="009014F3">
        <w:rPr>
          <w:rFonts w:ascii="Avenir" w:eastAsia="Avenir" w:hAnsi="Avenir" w:cs="Avenir"/>
          <w:lang w:val="en-GB"/>
        </w:rPr>
        <w:t>GBP </w:t>
      </w:r>
      <w:r w:rsidRPr="00171C2D">
        <w:rPr>
          <w:rFonts w:ascii="Avenir" w:eastAsia="Avenir" w:hAnsi="Avenir" w:cs="Avenir"/>
          <w:lang w:val="en-GB"/>
        </w:rPr>
        <w:t>16.5 million).</w:t>
      </w:r>
    </w:p>
    <w:p w14:paraId="5CA35D13" w14:textId="77777777" w:rsidR="00B556DE" w:rsidRPr="00171C2D" w:rsidRDefault="00B556DE">
      <w:pPr>
        <w:jc w:val="both"/>
        <w:rPr>
          <w:rFonts w:ascii="Avenir" w:eastAsia="Avenir" w:hAnsi="Avenir" w:cs="Avenir"/>
          <w:lang w:val="en-GB"/>
        </w:rPr>
      </w:pPr>
    </w:p>
    <w:p w14:paraId="02368C28" w14:textId="77777777" w:rsidR="00B556DE" w:rsidRPr="00171C2D" w:rsidRDefault="000D6BB0">
      <w:pPr>
        <w:jc w:val="both"/>
        <w:rPr>
          <w:rFonts w:ascii="Avenir" w:eastAsia="Avenir" w:hAnsi="Avenir" w:cs="Avenir"/>
          <w:b/>
          <w:bCs/>
          <w:iCs/>
          <w:lang w:val="en-GB"/>
        </w:rPr>
      </w:pPr>
      <w:r w:rsidRPr="00171C2D">
        <w:rPr>
          <w:rFonts w:ascii="Avenir" w:eastAsia="Avenir" w:hAnsi="Avenir" w:cs="Avenir"/>
          <w:b/>
          <w:bCs/>
          <w:iCs/>
          <w:lang w:val="en-GB"/>
        </w:rPr>
        <w:t>Figure 1: Total UK General Election spending by party, 2001–2019</w:t>
      </w:r>
    </w:p>
    <w:p w14:paraId="01AB7D61" w14:textId="77777777" w:rsidR="00B556DE" w:rsidRPr="00171C2D" w:rsidRDefault="000D6BB0">
      <w:pPr>
        <w:jc w:val="both"/>
        <w:rPr>
          <w:rFonts w:ascii="Avenir" w:eastAsia="Avenir" w:hAnsi="Avenir" w:cs="Avenir"/>
          <w:lang w:val="en-GB"/>
        </w:rPr>
      </w:pPr>
      <w:r w:rsidRPr="00171C2D">
        <w:rPr>
          <w:noProof/>
        </w:rPr>
        <w:drawing>
          <wp:inline distT="0" distB="0" distL="0" distR="0" wp14:anchorId="717C16D9" wp14:editId="40858030">
            <wp:extent cx="4871720" cy="2888615"/>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a:picLocks noChangeAspect="1" noChangeArrowheads="1"/>
                    </pic:cNvPicPr>
                  </pic:nvPicPr>
                  <pic:blipFill>
                    <a:blip r:embed="rId17"/>
                    <a:stretch>
                      <a:fillRect/>
                    </a:stretch>
                  </pic:blipFill>
                  <pic:spPr bwMode="auto">
                    <a:xfrm>
                      <a:off x="0" y="0"/>
                      <a:ext cx="4871720" cy="2888615"/>
                    </a:xfrm>
                    <a:prstGeom prst="rect">
                      <a:avLst/>
                    </a:prstGeom>
                  </pic:spPr>
                </pic:pic>
              </a:graphicData>
            </a:graphic>
          </wp:inline>
        </w:drawing>
      </w:r>
    </w:p>
    <w:p w14:paraId="2AF5911D" w14:textId="6673444D" w:rsidR="00B556DE" w:rsidRPr="00171C2D" w:rsidRDefault="00433AF2">
      <w:pPr>
        <w:jc w:val="both"/>
        <w:rPr>
          <w:rFonts w:ascii="Avenir" w:eastAsia="Avenir" w:hAnsi="Avenir" w:cs="Avenir"/>
          <w:lang w:val="en-GB"/>
        </w:rPr>
      </w:pPr>
      <w:r w:rsidRPr="00433AF2">
        <w:rPr>
          <w:rFonts w:ascii="Avenir" w:eastAsia="Avenir" w:hAnsi="Avenir" w:cs="Avenir"/>
          <w:highlight w:val="yellow"/>
          <w:lang w:val="en-GB"/>
        </w:rPr>
        <w:t>Source:</w:t>
      </w:r>
      <w:r>
        <w:rPr>
          <w:rFonts w:ascii="Avenir" w:eastAsia="Avenir" w:hAnsi="Avenir" w:cs="Avenir"/>
          <w:lang w:val="en-GB"/>
        </w:rPr>
        <w:t xml:space="preserve"> </w:t>
      </w:r>
      <w:r w:rsidR="00750E21">
        <w:rPr>
          <w:rFonts w:ascii="Avenir" w:eastAsia="Avenir" w:hAnsi="Avenir" w:cs="Avenir"/>
          <w:lang w:val="en-GB"/>
        </w:rPr>
        <w:t>Compilation by authors with information from the</w:t>
      </w:r>
      <w:r w:rsidR="003253B8">
        <w:rPr>
          <w:rFonts w:ascii="Avenir" w:eastAsia="Avenir" w:hAnsi="Avenir" w:cs="Avenir"/>
          <w:lang w:val="en-GB"/>
        </w:rPr>
        <w:t xml:space="preserve"> Political Finance Database</w:t>
      </w:r>
      <w:r w:rsidR="00750E21">
        <w:rPr>
          <w:rFonts w:ascii="Avenir" w:eastAsia="Avenir" w:hAnsi="Avenir" w:cs="Avenir"/>
          <w:lang w:val="en-GB"/>
        </w:rPr>
        <w:t xml:space="preserve"> of the UK Electoral Commission </w:t>
      </w:r>
    </w:p>
    <w:p w14:paraId="29CCC9B8" w14:textId="2584650D" w:rsidR="00B556DE" w:rsidRPr="00171C2D" w:rsidRDefault="000D6BB0">
      <w:pPr>
        <w:jc w:val="both"/>
        <w:rPr>
          <w:rFonts w:ascii="Avenir" w:eastAsia="Avenir" w:hAnsi="Avenir" w:cs="Avenir"/>
          <w:lang w:val="en-GB"/>
        </w:rPr>
      </w:pPr>
      <w:r w:rsidRPr="00171C2D">
        <w:rPr>
          <w:rFonts w:ascii="Avenir" w:eastAsia="Avenir" w:hAnsi="Avenir" w:cs="Avenir"/>
          <w:lang w:val="en-GB"/>
        </w:rPr>
        <w:lastRenderedPageBreak/>
        <w:t xml:space="preserve">It is also possible to break down the kinds of spending that are prevalent. Figure 2 shows that, in recent years, ‘unsolicited material to electors’ has dominated spending activity </w:t>
      </w:r>
      <w:r w:rsidR="00C41CBC" w:rsidRPr="00171C2D">
        <w:rPr>
          <w:rFonts w:ascii="Avenir" w:eastAsia="Avenir" w:hAnsi="Avenir" w:cs="Avenir"/>
          <w:lang w:val="en-GB"/>
        </w:rPr>
        <w:t>in</w:t>
      </w:r>
      <w:r w:rsidRPr="00171C2D">
        <w:rPr>
          <w:rFonts w:ascii="Avenir" w:eastAsia="Avenir" w:hAnsi="Avenir" w:cs="Avenir"/>
          <w:lang w:val="en-GB"/>
        </w:rPr>
        <w:t xml:space="preserve"> general elections. In 2019, around </w:t>
      </w:r>
      <w:r w:rsidR="009014F3">
        <w:rPr>
          <w:rFonts w:ascii="Avenir" w:eastAsia="Avenir" w:hAnsi="Avenir" w:cs="Avenir"/>
          <w:lang w:val="en-GB"/>
        </w:rPr>
        <w:t>GBP </w:t>
      </w:r>
      <w:r w:rsidRPr="00171C2D">
        <w:rPr>
          <w:rFonts w:ascii="Avenir" w:eastAsia="Avenir" w:hAnsi="Avenir" w:cs="Avenir"/>
          <w:lang w:val="en-GB"/>
        </w:rPr>
        <w:t xml:space="preserve">20.5 million of spending was categorized under this heading, which amounts to well over a third of the total spend (which stood at around </w:t>
      </w:r>
      <w:r w:rsidR="009014F3">
        <w:rPr>
          <w:rFonts w:ascii="Avenir" w:eastAsia="Avenir" w:hAnsi="Avenir" w:cs="Avenir"/>
          <w:lang w:val="en-GB"/>
        </w:rPr>
        <w:t>GBP </w:t>
      </w:r>
      <w:r w:rsidRPr="00171C2D">
        <w:rPr>
          <w:rFonts w:ascii="Avenir" w:eastAsia="Avenir" w:hAnsi="Avenir" w:cs="Avenir"/>
          <w:lang w:val="en-GB"/>
        </w:rPr>
        <w:t>50 million). Advertising (</w:t>
      </w:r>
      <w:r w:rsidR="009014F3">
        <w:rPr>
          <w:rFonts w:ascii="Avenir" w:eastAsia="Avenir" w:hAnsi="Avenir" w:cs="Avenir"/>
          <w:lang w:val="en-GB"/>
        </w:rPr>
        <w:t>GBP </w:t>
      </w:r>
      <w:r w:rsidRPr="00171C2D">
        <w:rPr>
          <w:rFonts w:ascii="Avenir" w:eastAsia="Avenir" w:hAnsi="Avenir" w:cs="Avenir"/>
          <w:lang w:val="en-GB"/>
        </w:rPr>
        <w:t>14 million) and market research/canvassing (</w:t>
      </w:r>
      <w:r w:rsidR="009014F3">
        <w:rPr>
          <w:rFonts w:ascii="Avenir" w:eastAsia="Avenir" w:hAnsi="Avenir" w:cs="Avenir"/>
          <w:lang w:val="en-GB"/>
        </w:rPr>
        <w:t>GBP </w:t>
      </w:r>
      <w:r w:rsidRPr="00171C2D">
        <w:rPr>
          <w:rFonts w:ascii="Avenir" w:eastAsia="Avenir" w:hAnsi="Avenir" w:cs="Avenir"/>
          <w:lang w:val="en-GB"/>
        </w:rPr>
        <w:t xml:space="preserve">6.4 million) account for the other primary forms of spending. Together, these three categories contribute over 80 per cent, or </w:t>
      </w:r>
      <w:r w:rsidR="009014F3">
        <w:rPr>
          <w:rFonts w:ascii="Avenir" w:eastAsia="Avenir" w:hAnsi="Avenir" w:cs="Avenir"/>
          <w:lang w:val="en-GB"/>
        </w:rPr>
        <w:t>GBP </w:t>
      </w:r>
      <w:r w:rsidRPr="00171C2D">
        <w:rPr>
          <w:rFonts w:ascii="Avenir" w:eastAsia="Avenir" w:hAnsi="Avenir" w:cs="Avenir"/>
          <w:lang w:val="en-GB"/>
        </w:rPr>
        <w:t xml:space="preserve">40.9 million, of total spending </w:t>
      </w:r>
      <w:r w:rsidR="00004E88" w:rsidRPr="00171C2D">
        <w:rPr>
          <w:rFonts w:ascii="Avenir" w:eastAsia="Avenir" w:hAnsi="Avenir" w:cs="Avenir"/>
          <w:lang w:val="en-GB"/>
        </w:rPr>
        <w:t>in</w:t>
      </w:r>
      <w:r w:rsidRPr="00171C2D">
        <w:rPr>
          <w:rFonts w:ascii="Avenir" w:eastAsia="Avenir" w:hAnsi="Avenir" w:cs="Avenir"/>
          <w:lang w:val="en-GB"/>
        </w:rPr>
        <w:t xml:space="preserve"> the 2019 General Election.</w:t>
      </w:r>
    </w:p>
    <w:p w14:paraId="30634EEB" w14:textId="77777777" w:rsidR="00B556DE" w:rsidRPr="00171C2D" w:rsidRDefault="00B556DE">
      <w:pPr>
        <w:jc w:val="both"/>
        <w:rPr>
          <w:rFonts w:ascii="Avenir" w:eastAsia="Avenir" w:hAnsi="Avenir" w:cs="Avenir"/>
          <w:lang w:val="en-GB"/>
        </w:rPr>
      </w:pPr>
    </w:p>
    <w:p w14:paraId="6CD75440" w14:textId="77777777" w:rsidR="00B556DE" w:rsidRPr="00171C2D" w:rsidRDefault="000D6BB0">
      <w:pPr>
        <w:jc w:val="both"/>
        <w:rPr>
          <w:rFonts w:ascii="Avenir" w:eastAsia="Avenir" w:hAnsi="Avenir" w:cs="Avenir"/>
          <w:b/>
          <w:bCs/>
          <w:iCs/>
          <w:lang w:val="en-GB"/>
        </w:rPr>
      </w:pPr>
      <w:r w:rsidRPr="00171C2D">
        <w:rPr>
          <w:rFonts w:ascii="Avenir" w:eastAsia="Avenir" w:hAnsi="Avenir" w:cs="Avenir"/>
          <w:b/>
          <w:bCs/>
          <w:iCs/>
          <w:lang w:val="en-GB"/>
        </w:rPr>
        <w:t>Figure 2: Total UK General Election spending by all parties by category, 2001–2019</w:t>
      </w:r>
    </w:p>
    <w:p w14:paraId="65DACE02" w14:textId="77777777" w:rsidR="00B556DE" w:rsidRPr="00171C2D" w:rsidRDefault="000D6BB0">
      <w:pPr>
        <w:jc w:val="both"/>
        <w:rPr>
          <w:rFonts w:ascii="Avenir" w:eastAsia="Avenir" w:hAnsi="Avenir" w:cs="Avenir"/>
          <w:lang w:val="en-GB"/>
        </w:rPr>
      </w:pPr>
      <w:r w:rsidRPr="00171C2D">
        <w:rPr>
          <w:noProof/>
        </w:rPr>
        <w:drawing>
          <wp:inline distT="0" distB="0" distL="0" distR="0" wp14:anchorId="5C9386EE" wp14:editId="22AC3BF8">
            <wp:extent cx="5195570" cy="2954020"/>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noChangeArrowheads="1"/>
                    </pic:cNvPicPr>
                  </pic:nvPicPr>
                  <pic:blipFill>
                    <a:blip r:embed="rId18"/>
                    <a:stretch>
                      <a:fillRect/>
                    </a:stretch>
                  </pic:blipFill>
                  <pic:spPr bwMode="auto">
                    <a:xfrm>
                      <a:off x="0" y="0"/>
                      <a:ext cx="5195570" cy="2954020"/>
                    </a:xfrm>
                    <a:prstGeom prst="rect">
                      <a:avLst/>
                    </a:prstGeom>
                  </pic:spPr>
                </pic:pic>
              </a:graphicData>
            </a:graphic>
          </wp:inline>
        </w:drawing>
      </w:r>
    </w:p>
    <w:p w14:paraId="7640E098" w14:textId="66C2A6A2" w:rsidR="00750E21" w:rsidRPr="00171C2D" w:rsidRDefault="00433AF2" w:rsidP="00750E21">
      <w:pPr>
        <w:jc w:val="both"/>
        <w:rPr>
          <w:rFonts w:ascii="Avenir" w:eastAsia="Avenir" w:hAnsi="Avenir" w:cs="Avenir"/>
          <w:lang w:val="en-GB"/>
        </w:rPr>
      </w:pPr>
      <w:r w:rsidRPr="006E5855">
        <w:rPr>
          <w:rFonts w:ascii="Avenir" w:eastAsia="Avenir" w:hAnsi="Avenir" w:cs="Avenir"/>
          <w:i/>
          <w:iCs/>
          <w:lang w:val="en-GB"/>
        </w:rPr>
        <w:t>Source</w:t>
      </w:r>
      <w:r>
        <w:rPr>
          <w:rFonts w:ascii="Avenir" w:eastAsia="Avenir" w:hAnsi="Avenir" w:cs="Avenir"/>
          <w:lang w:val="en-GB"/>
        </w:rPr>
        <w:t xml:space="preserve">: </w:t>
      </w:r>
      <w:r w:rsidR="00750E21">
        <w:rPr>
          <w:rFonts w:ascii="Avenir" w:eastAsia="Avenir" w:hAnsi="Avenir" w:cs="Avenir"/>
          <w:lang w:val="en-GB"/>
        </w:rPr>
        <w:t>Compilation by authors with information from the Political Finance Database of the UK Electoral Commission</w:t>
      </w:r>
    </w:p>
    <w:p w14:paraId="161E0C3A" w14:textId="6F1034E2" w:rsidR="00B556DE" w:rsidRPr="00171C2D" w:rsidRDefault="00B556DE">
      <w:pPr>
        <w:jc w:val="both"/>
        <w:rPr>
          <w:rFonts w:ascii="Avenir" w:eastAsia="Avenir" w:hAnsi="Avenir" w:cs="Avenir"/>
          <w:lang w:val="en-GB"/>
        </w:rPr>
      </w:pPr>
    </w:p>
    <w:p w14:paraId="19C7DD52" w14:textId="77777777" w:rsidR="00B556DE" w:rsidRPr="00171C2D" w:rsidRDefault="000D6BB0">
      <w:pPr>
        <w:pStyle w:val="Heading3"/>
        <w:numPr>
          <w:ilvl w:val="1"/>
          <w:numId w:val="59"/>
        </w:numPr>
        <w:rPr>
          <w:color w:val="auto"/>
          <w:lang w:val="en-GB"/>
        </w:rPr>
      </w:pPr>
      <w:r w:rsidRPr="00171C2D">
        <w:rPr>
          <w:color w:val="auto"/>
          <w:lang w:val="en-GB"/>
        </w:rPr>
        <w:t>Electoral Commission data and election campaign suppliers</w:t>
      </w:r>
    </w:p>
    <w:p w14:paraId="23825ADF" w14:textId="3953B137" w:rsidR="00B556DE" w:rsidRPr="00171C2D" w:rsidRDefault="003808C7">
      <w:pPr>
        <w:jc w:val="both"/>
        <w:rPr>
          <w:rFonts w:ascii="Avenir" w:eastAsia="Avenir" w:hAnsi="Avenir" w:cs="Avenir"/>
          <w:lang w:val="en-GB"/>
        </w:rPr>
      </w:pPr>
      <w:r w:rsidRPr="00171C2D">
        <w:rPr>
          <w:rFonts w:ascii="Avenir" w:eastAsia="Avenir" w:hAnsi="Avenir" w:cs="Avenir"/>
          <w:lang w:val="en-GB"/>
        </w:rPr>
        <w:t>Looking at the</w:t>
      </w:r>
      <w:r w:rsidR="000D6BB0" w:rsidRPr="00171C2D">
        <w:rPr>
          <w:rFonts w:ascii="Avenir" w:eastAsia="Avenir" w:hAnsi="Avenir" w:cs="Avenir"/>
          <w:lang w:val="en-GB"/>
        </w:rPr>
        <w:t xml:space="preserve"> spending returns in more </w:t>
      </w:r>
      <w:proofErr w:type="gramStart"/>
      <w:r w:rsidR="000D6BB0" w:rsidRPr="00171C2D">
        <w:rPr>
          <w:rFonts w:ascii="Avenir" w:eastAsia="Avenir" w:hAnsi="Avenir" w:cs="Avenir"/>
          <w:lang w:val="en-GB"/>
        </w:rPr>
        <w:t>detail,</w:t>
      </w:r>
      <w:proofErr w:type="gramEnd"/>
      <w:r w:rsidR="000D6BB0" w:rsidRPr="00171C2D">
        <w:rPr>
          <w:rFonts w:ascii="Avenir" w:eastAsia="Avenir" w:hAnsi="Avenir" w:cs="Avenir"/>
          <w:lang w:val="en-GB"/>
        </w:rPr>
        <w:t xml:space="preserve"> it is possible to gather some initial information about the suppliers working in election campaigns. Electoral Commission returns show a total of 1,006 separate suppliers working for (at least) one of the political parties</w:t>
      </w:r>
      <w:r w:rsidR="000D6BB0" w:rsidRPr="00171C2D">
        <w:rPr>
          <w:rStyle w:val="FootnoteAnchor"/>
          <w:rFonts w:ascii="Avenir" w:eastAsia="Avenir" w:hAnsi="Avenir" w:cs="Avenir"/>
          <w:lang w:val="en-GB"/>
        </w:rPr>
        <w:footnoteReference w:id="7"/>
      </w:r>
      <w:r w:rsidR="000D6BB0" w:rsidRPr="00171C2D">
        <w:rPr>
          <w:rFonts w:ascii="Avenir" w:eastAsia="Avenir" w:hAnsi="Avenir" w:cs="Avenir"/>
          <w:lang w:val="en-GB"/>
        </w:rPr>
        <w:t xml:space="preserve"> </w:t>
      </w:r>
      <w:r w:rsidR="00F1217D" w:rsidRPr="00171C2D">
        <w:rPr>
          <w:rFonts w:ascii="Avenir" w:eastAsia="Avenir" w:hAnsi="Avenir" w:cs="Avenir"/>
          <w:lang w:val="en-GB"/>
        </w:rPr>
        <w:t>in</w:t>
      </w:r>
      <w:r w:rsidR="000D6BB0" w:rsidRPr="00171C2D">
        <w:rPr>
          <w:rFonts w:ascii="Avenir" w:eastAsia="Avenir" w:hAnsi="Avenir" w:cs="Avenir"/>
          <w:lang w:val="en-GB"/>
        </w:rPr>
        <w:t xml:space="preserve"> the 2019 General Election. The vast majority—959—of these suppliers work with single parties, but a small number—47 (representing less than 5 per cent of suppliers)—work with multiple parties. </w:t>
      </w:r>
    </w:p>
    <w:p w14:paraId="5AE4ECCF" w14:textId="77777777" w:rsidR="00B556DE" w:rsidRPr="00171C2D" w:rsidRDefault="00B556DE">
      <w:pPr>
        <w:jc w:val="both"/>
        <w:rPr>
          <w:rFonts w:ascii="Avenir" w:eastAsia="Avenir" w:hAnsi="Avenir" w:cs="Avenir"/>
          <w:lang w:val="en-GB"/>
        </w:rPr>
      </w:pPr>
    </w:p>
    <w:p w14:paraId="1B5DAC33" w14:textId="6DFBE576"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As shown in Figure 3, Facebook is by far the most prolific supplier, working with 11 political parties to provide either ‘advertising’, ‘overheads and general administration’, ‘unsolicited material to </w:t>
      </w:r>
      <w:r w:rsidRPr="00171C2D">
        <w:rPr>
          <w:rFonts w:ascii="Avenir" w:eastAsia="Avenir" w:hAnsi="Avenir" w:cs="Avenir"/>
          <w:lang w:val="en-GB"/>
        </w:rPr>
        <w:lastRenderedPageBreak/>
        <w:t xml:space="preserve">electors’ or ‘media’, </w:t>
      </w:r>
      <w:r w:rsidR="003808C7" w:rsidRPr="00171C2D">
        <w:rPr>
          <w:rFonts w:ascii="Avenir" w:eastAsia="Avenir" w:hAnsi="Avenir" w:cs="Avenir"/>
          <w:lang w:val="en-GB"/>
        </w:rPr>
        <w:t xml:space="preserve">according to </w:t>
      </w:r>
      <w:r w:rsidRPr="00171C2D">
        <w:rPr>
          <w:rFonts w:ascii="Avenir" w:eastAsia="Avenir" w:hAnsi="Avenir" w:cs="Avenir"/>
          <w:lang w:val="en-GB"/>
        </w:rPr>
        <w:t xml:space="preserve">the Electoral Commission categories. The next are JPI Media and Reach Printing Services Ltd, who work with six parties each. </w:t>
      </w:r>
      <w:r w:rsidR="00F1217D" w:rsidRPr="00171C2D">
        <w:rPr>
          <w:rFonts w:ascii="Avenir" w:eastAsia="Avenir" w:hAnsi="Avenir" w:cs="Avenir"/>
          <w:lang w:val="en-GB"/>
        </w:rPr>
        <w:t>Most of</w:t>
      </w:r>
      <w:r w:rsidRPr="00171C2D">
        <w:rPr>
          <w:rFonts w:ascii="Avenir" w:eastAsia="Avenir" w:hAnsi="Avenir" w:cs="Avenir"/>
          <w:lang w:val="en-GB"/>
        </w:rPr>
        <w:t xml:space="preserve"> the remaining suppliers serving multiple parties (34) work with just two different parties. </w:t>
      </w:r>
    </w:p>
    <w:p w14:paraId="73A3E2B0" w14:textId="77777777" w:rsidR="00B556DE" w:rsidRPr="00171C2D" w:rsidRDefault="00B556DE">
      <w:pPr>
        <w:jc w:val="both"/>
        <w:rPr>
          <w:rFonts w:ascii="Avenir" w:eastAsia="Avenir" w:hAnsi="Avenir" w:cs="Avenir"/>
          <w:lang w:val="en-GB"/>
        </w:rPr>
      </w:pPr>
    </w:p>
    <w:p w14:paraId="713C62AF" w14:textId="3D99E9A2" w:rsidR="00B556DE" w:rsidRPr="00171C2D" w:rsidRDefault="000D6BB0">
      <w:pPr>
        <w:jc w:val="both"/>
        <w:rPr>
          <w:rFonts w:ascii="Avenir" w:eastAsia="Avenir" w:hAnsi="Avenir" w:cs="Avenir"/>
          <w:b/>
          <w:bCs/>
          <w:iCs/>
          <w:lang w:val="en-GB"/>
        </w:rPr>
      </w:pPr>
      <w:r w:rsidRPr="00171C2D">
        <w:rPr>
          <w:rFonts w:ascii="Avenir" w:eastAsia="Avenir" w:hAnsi="Avenir" w:cs="Avenir"/>
          <w:b/>
          <w:bCs/>
          <w:iCs/>
          <w:lang w:val="en-GB"/>
        </w:rPr>
        <w:t xml:space="preserve">Figure 3: Suppliers working for multiple parties in the UK General Election 2019, by number of parties </w:t>
      </w:r>
    </w:p>
    <w:p w14:paraId="65474F2D" w14:textId="69D6B26D" w:rsidR="00B556DE" w:rsidRDefault="000D6BB0">
      <w:pPr>
        <w:rPr>
          <w:rFonts w:ascii="Avenir" w:eastAsia="Avenir" w:hAnsi="Avenir" w:cs="Avenir"/>
          <w:lang w:val="en-GB"/>
        </w:rPr>
      </w:pPr>
      <w:r w:rsidRPr="00171C2D">
        <w:rPr>
          <w:noProof/>
        </w:rPr>
        <w:drawing>
          <wp:inline distT="0" distB="0" distL="0" distR="0" wp14:anchorId="448554F6" wp14:editId="4A19403A">
            <wp:extent cx="3919855" cy="4867910"/>
            <wp:effectExtent l="0" t="0" r="0" b="0"/>
            <wp:docPr id="3" name="image4.png"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png" descr="Chart"/>
                    <pic:cNvPicPr>
                      <a:picLocks noChangeAspect="1" noChangeArrowheads="1"/>
                    </pic:cNvPicPr>
                  </pic:nvPicPr>
                  <pic:blipFill>
                    <a:blip r:embed="rId19"/>
                    <a:stretch>
                      <a:fillRect/>
                    </a:stretch>
                  </pic:blipFill>
                  <pic:spPr bwMode="auto">
                    <a:xfrm>
                      <a:off x="0" y="0"/>
                      <a:ext cx="3919855" cy="4867910"/>
                    </a:xfrm>
                    <a:prstGeom prst="rect">
                      <a:avLst/>
                    </a:prstGeom>
                  </pic:spPr>
                </pic:pic>
              </a:graphicData>
            </a:graphic>
          </wp:inline>
        </w:drawing>
      </w:r>
    </w:p>
    <w:p w14:paraId="6C87E918" w14:textId="77FDA122" w:rsidR="006E5855" w:rsidRDefault="006E5855">
      <w:pPr>
        <w:rPr>
          <w:rFonts w:ascii="Avenir" w:eastAsia="Avenir" w:hAnsi="Avenir" w:cs="Avenir"/>
          <w:lang w:val="en-GB"/>
        </w:rPr>
      </w:pPr>
      <w:r>
        <w:rPr>
          <w:rFonts w:ascii="Avenir" w:eastAsia="Avenir" w:hAnsi="Avenir" w:cs="Avenir"/>
          <w:lang w:val="en-GB"/>
        </w:rPr>
        <w:t xml:space="preserve">Source: </w:t>
      </w:r>
      <w:r w:rsidR="00BB7499">
        <w:rPr>
          <w:rFonts w:ascii="Avenir" w:eastAsia="Avenir" w:hAnsi="Avenir" w:cs="Avenir"/>
          <w:lang w:val="en-GB"/>
        </w:rPr>
        <w:t>Authors</w:t>
      </w:r>
      <w:r w:rsidR="00750E21">
        <w:rPr>
          <w:rFonts w:ascii="Avenir" w:eastAsia="Avenir" w:hAnsi="Avenir" w:cs="Avenir"/>
          <w:lang w:val="en-GB"/>
        </w:rPr>
        <w:t>´</w:t>
      </w:r>
      <w:r w:rsidR="00BB7499">
        <w:rPr>
          <w:rFonts w:ascii="Avenir" w:eastAsia="Avenir" w:hAnsi="Avenir" w:cs="Avenir"/>
          <w:lang w:val="en-GB"/>
        </w:rPr>
        <w:t xml:space="preserve"> analysis of invoices returned to the Electoral Commission for the 2019 General Election.</w:t>
      </w:r>
    </w:p>
    <w:p w14:paraId="1AD5AA10" w14:textId="77777777" w:rsidR="006E5855" w:rsidRPr="00171C2D" w:rsidRDefault="006E5855">
      <w:pPr>
        <w:rPr>
          <w:rFonts w:ascii="Avenir" w:eastAsia="Avenir" w:hAnsi="Avenir" w:cs="Avenir"/>
          <w:lang w:val="en-GB"/>
        </w:rPr>
      </w:pPr>
    </w:p>
    <w:p w14:paraId="19D57F34" w14:textId="2A860A40" w:rsidR="00930DC7" w:rsidRPr="00171C2D" w:rsidRDefault="000D6BB0">
      <w:pPr>
        <w:jc w:val="both"/>
        <w:rPr>
          <w:rFonts w:ascii="Avenir" w:eastAsia="Avenir" w:hAnsi="Avenir" w:cs="Avenir"/>
          <w:lang w:val="en-GB"/>
        </w:rPr>
      </w:pPr>
      <w:r w:rsidRPr="00171C2D">
        <w:rPr>
          <w:rFonts w:ascii="Avenir" w:eastAsia="Avenir" w:hAnsi="Avenir" w:cs="Avenir"/>
          <w:lang w:val="en-GB"/>
        </w:rPr>
        <w:t xml:space="preserve">Looking at the amounts these suppliers are charging parties, </w:t>
      </w:r>
      <w:proofErr w:type="gramStart"/>
      <w:r w:rsidRPr="00171C2D">
        <w:rPr>
          <w:rFonts w:ascii="Avenir" w:eastAsia="Avenir" w:hAnsi="Avenir" w:cs="Avenir"/>
          <w:lang w:val="en-GB"/>
        </w:rPr>
        <w:t>it is clear that they</w:t>
      </w:r>
      <w:proofErr w:type="gramEnd"/>
      <w:r w:rsidRPr="00171C2D">
        <w:rPr>
          <w:rFonts w:ascii="Avenir" w:eastAsia="Avenir" w:hAnsi="Avenir" w:cs="Avenir"/>
          <w:lang w:val="en-GB"/>
        </w:rPr>
        <w:t xml:space="preserve"> differ markedly (see Table</w:t>
      </w:r>
      <w:r w:rsidR="006E5855">
        <w:rPr>
          <w:rFonts w:ascii="Avenir" w:eastAsia="Avenir" w:hAnsi="Avenir" w:cs="Avenir"/>
          <w:lang w:val="en-GB"/>
        </w:rPr>
        <w:t> </w:t>
      </w:r>
      <w:r w:rsidRPr="00171C2D">
        <w:rPr>
          <w:rFonts w:ascii="Avenir" w:eastAsia="Avenir" w:hAnsi="Avenir" w:cs="Avenir"/>
          <w:lang w:val="en-GB"/>
        </w:rPr>
        <w:t>2). Facebook, for example, is one of the top four suppliers paid by the parties featured in Table</w:t>
      </w:r>
      <w:r w:rsidR="006E5855">
        <w:rPr>
          <w:rFonts w:ascii="Avenir" w:eastAsia="Avenir" w:hAnsi="Avenir" w:cs="Avenir"/>
          <w:lang w:val="en-GB"/>
        </w:rPr>
        <w:t> </w:t>
      </w:r>
      <w:r w:rsidRPr="00171C2D">
        <w:rPr>
          <w:rFonts w:ascii="Avenir" w:eastAsia="Avenir" w:hAnsi="Avenir" w:cs="Avenir"/>
          <w:lang w:val="en-GB"/>
        </w:rPr>
        <w:t xml:space="preserve">2, but while the Labour Party spent nearly </w:t>
      </w:r>
      <w:r w:rsidR="009014F3">
        <w:rPr>
          <w:rFonts w:ascii="Avenir" w:eastAsia="Avenir" w:hAnsi="Avenir" w:cs="Avenir"/>
          <w:lang w:val="en-GB"/>
        </w:rPr>
        <w:t>GBP </w:t>
      </w:r>
      <w:r w:rsidRPr="00171C2D">
        <w:rPr>
          <w:rFonts w:ascii="Avenir" w:eastAsia="Avenir" w:hAnsi="Avenir" w:cs="Avenir"/>
          <w:lang w:val="en-GB"/>
        </w:rPr>
        <w:t xml:space="preserve">2.4 million with </w:t>
      </w:r>
      <w:r w:rsidR="003808C7" w:rsidRPr="00171C2D">
        <w:rPr>
          <w:rFonts w:ascii="Avenir" w:eastAsia="Avenir" w:hAnsi="Avenir" w:cs="Avenir"/>
          <w:lang w:val="en-GB"/>
        </w:rPr>
        <w:t>Facebook</w:t>
      </w:r>
      <w:r w:rsidRPr="00171C2D">
        <w:rPr>
          <w:rFonts w:ascii="Avenir" w:eastAsia="Avenir" w:hAnsi="Avenir" w:cs="Avenir"/>
          <w:lang w:val="en-GB"/>
        </w:rPr>
        <w:t xml:space="preserve">, the Greens spent just over </w:t>
      </w:r>
      <w:r w:rsidR="009014F3">
        <w:rPr>
          <w:rFonts w:ascii="Avenir" w:eastAsia="Avenir" w:hAnsi="Avenir" w:cs="Avenir"/>
          <w:lang w:val="en-GB"/>
        </w:rPr>
        <w:t>GBP </w:t>
      </w:r>
      <w:r w:rsidRPr="00171C2D">
        <w:rPr>
          <w:rFonts w:ascii="Avenir" w:eastAsia="Avenir" w:hAnsi="Avenir" w:cs="Avenir"/>
          <w:lang w:val="en-GB"/>
        </w:rPr>
        <w:t xml:space="preserve">93,000. Whilst some variation in spending could reflect parties’ own </w:t>
      </w:r>
      <w:r w:rsidR="00C56DC0" w:rsidRPr="00171C2D">
        <w:rPr>
          <w:rFonts w:ascii="Avenir" w:eastAsia="Avenir" w:hAnsi="Avenir" w:cs="Avenir"/>
          <w:lang w:val="en-GB"/>
        </w:rPr>
        <w:t>choices</w:t>
      </w:r>
      <w:r w:rsidRPr="00171C2D">
        <w:rPr>
          <w:rFonts w:ascii="Avenir" w:eastAsia="Avenir" w:hAnsi="Avenir" w:cs="Avenir"/>
          <w:lang w:val="en-GB"/>
        </w:rPr>
        <w:t xml:space="preserve"> about where to concentrate resource, the vastly different amounts spent by parties (Figure 1), suggest</w:t>
      </w:r>
      <w:r w:rsidR="003808C7" w:rsidRPr="00171C2D">
        <w:rPr>
          <w:rFonts w:ascii="Avenir" w:eastAsia="Avenir" w:hAnsi="Avenir" w:cs="Avenir"/>
          <w:lang w:val="en-GB"/>
        </w:rPr>
        <w:t>s</w:t>
      </w:r>
      <w:r w:rsidRPr="00171C2D">
        <w:rPr>
          <w:rFonts w:ascii="Avenir" w:eastAsia="Avenir" w:hAnsi="Avenir" w:cs="Avenir"/>
          <w:lang w:val="en-GB"/>
        </w:rPr>
        <w:t xml:space="preserve"> that parties do not have equal resource to spend on external suppliers</w:t>
      </w:r>
      <w:r w:rsidR="00930DC7" w:rsidRPr="00171C2D">
        <w:rPr>
          <w:rFonts w:ascii="Avenir" w:eastAsia="Avenir" w:hAnsi="Avenir" w:cs="Avenir"/>
          <w:lang w:val="en-GB"/>
        </w:rPr>
        <w:t>. This also reflects the institutional reality that some parties are simply bigger (and richer) than others.</w:t>
      </w:r>
    </w:p>
    <w:p w14:paraId="5009A9A2" w14:textId="448F56CA" w:rsidR="00B556DE" w:rsidRPr="00171C2D" w:rsidRDefault="00930DC7">
      <w:pPr>
        <w:jc w:val="both"/>
        <w:rPr>
          <w:rFonts w:ascii="Avenir" w:eastAsia="Avenir" w:hAnsi="Avenir" w:cs="Avenir"/>
          <w:lang w:val="en-GB"/>
        </w:rPr>
      </w:pPr>
      <w:r w:rsidRPr="00171C2D">
        <w:rPr>
          <w:rFonts w:ascii="Avenir" w:eastAsia="Avenir" w:hAnsi="Avenir" w:cs="Avenir"/>
          <w:lang w:val="en-GB"/>
        </w:rPr>
        <w:t xml:space="preserve"> </w:t>
      </w:r>
    </w:p>
    <w:p w14:paraId="1DBD828C" w14:textId="3D2471EF" w:rsidR="00B556DE" w:rsidRPr="00171C2D" w:rsidRDefault="000D6BB0">
      <w:pPr>
        <w:jc w:val="both"/>
        <w:rPr>
          <w:rFonts w:ascii="Avenir" w:eastAsia="Avenir" w:hAnsi="Avenir" w:cs="Avenir"/>
          <w:lang w:val="en-GB"/>
        </w:rPr>
      </w:pPr>
      <w:r w:rsidRPr="00171C2D">
        <w:rPr>
          <w:rFonts w:ascii="Avenir" w:eastAsia="Avenir" w:hAnsi="Avenir" w:cs="Avenir"/>
          <w:lang w:val="en-GB"/>
        </w:rPr>
        <w:lastRenderedPageBreak/>
        <w:t>Table 2 also reveals that the five parties featured use some of the same suppliers. The panes shaded blue indicate suppliers who work with more than one party,</w:t>
      </w:r>
      <w:r w:rsidRPr="00171C2D">
        <w:rPr>
          <w:rStyle w:val="FootnoteAnchor"/>
          <w:rFonts w:ascii="Avenir" w:eastAsia="Avenir" w:hAnsi="Avenir" w:cs="Avenir"/>
          <w:lang w:val="en-GB"/>
        </w:rPr>
        <w:footnoteReference w:id="8"/>
      </w:r>
      <w:r w:rsidRPr="00171C2D">
        <w:rPr>
          <w:rFonts w:ascii="Avenir" w:eastAsia="Avenir" w:hAnsi="Avenir" w:cs="Avenir"/>
          <w:lang w:val="en-GB"/>
        </w:rPr>
        <w:t xml:space="preserve"> demonstrating that many of the suppliers commanding the highest spend work with multiple parties (12/34 of the multi-party suppliers identified in the database feature in Table 2). These suppliers appear to dominate the market and exert a monopoly on </w:t>
      </w:r>
      <w:proofErr w:type="gramStart"/>
      <w:r w:rsidRPr="00171C2D">
        <w:rPr>
          <w:rFonts w:ascii="Avenir" w:eastAsia="Avenir" w:hAnsi="Avenir" w:cs="Avenir"/>
          <w:lang w:val="en-GB"/>
        </w:rPr>
        <w:t>particular aspects</w:t>
      </w:r>
      <w:proofErr w:type="gramEnd"/>
      <w:r w:rsidRPr="00171C2D">
        <w:rPr>
          <w:rFonts w:ascii="Avenir" w:eastAsia="Avenir" w:hAnsi="Avenir" w:cs="Avenir"/>
          <w:lang w:val="en-GB"/>
        </w:rPr>
        <w:t xml:space="preserve"> of the electoral marketplace. Whilst such dynamics are not inherently problematic, they suggest a need to monitor the activities of monopolistic actors to ensure equal access is available to all campaigners. </w:t>
      </w:r>
    </w:p>
    <w:p w14:paraId="0A45EE68" w14:textId="77777777" w:rsidR="00B556DE" w:rsidRPr="00171C2D" w:rsidRDefault="00B556DE">
      <w:pPr>
        <w:jc w:val="both"/>
        <w:rPr>
          <w:rFonts w:ascii="Avenir" w:eastAsia="Avenir" w:hAnsi="Avenir" w:cs="Avenir"/>
          <w:lang w:val="en-GB"/>
        </w:rPr>
      </w:pPr>
    </w:p>
    <w:p w14:paraId="37D7D271" w14:textId="1AB8189E" w:rsidR="00B556DE" w:rsidRPr="00171C2D" w:rsidRDefault="000D6BB0">
      <w:pPr>
        <w:jc w:val="both"/>
        <w:rPr>
          <w:rFonts w:ascii="Avenir" w:eastAsia="Avenir" w:hAnsi="Avenir" w:cs="Avenir"/>
          <w:b/>
          <w:bCs/>
          <w:lang w:val="en-GB"/>
        </w:rPr>
      </w:pPr>
      <w:r w:rsidRPr="00171C2D">
        <w:rPr>
          <w:rFonts w:ascii="Avenir" w:eastAsia="Avenir" w:hAnsi="Avenir" w:cs="Avenir"/>
          <w:b/>
          <w:bCs/>
          <w:lang w:val="en-GB"/>
        </w:rPr>
        <w:t>Table 2: Suppliers commanding the highest spend in the UK General Election 2019, by party</w:t>
      </w:r>
    </w:p>
    <w:tbl>
      <w:tblPr>
        <w:tblW w:w="10578" w:type="dxa"/>
        <w:tblInd w:w="-96" w:type="dxa"/>
        <w:tblCellMar>
          <w:top w:w="20" w:type="dxa"/>
          <w:left w:w="20" w:type="dxa"/>
          <w:bottom w:w="100" w:type="dxa"/>
          <w:right w:w="20" w:type="dxa"/>
        </w:tblCellMar>
        <w:tblLook w:val="0600" w:firstRow="0" w:lastRow="0" w:firstColumn="0" w:lastColumn="0" w:noHBand="1" w:noVBand="1"/>
      </w:tblPr>
      <w:tblGrid>
        <w:gridCol w:w="218"/>
        <w:gridCol w:w="1194"/>
        <w:gridCol w:w="1048"/>
        <w:gridCol w:w="942"/>
        <w:gridCol w:w="1048"/>
        <w:gridCol w:w="1194"/>
        <w:gridCol w:w="1048"/>
        <w:gridCol w:w="797"/>
        <w:gridCol w:w="838"/>
        <w:gridCol w:w="1118"/>
        <w:gridCol w:w="927"/>
        <w:gridCol w:w="206"/>
      </w:tblGrid>
      <w:tr w:rsidR="00171C2D" w:rsidRPr="00171C2D" w14:paraId="75C8C883" w14:textId="77777777" w:rsidTr="006E5855">
        <w:trPr>
          <w:trHeight w:val="405"/>
        </w:trPr>
        <w:tc>
          <w:tcPr>
            <w:tcW w:w="218" w:type="dxa"/>
            <w:tcBorders>
              <w:top w:val="single" w:sz="8" w:space="0" w:color="000000"/>
              <w:left w:val="single" w:sz="8" w:space="0" w:color="000000"/>
              <w:bottom w:val="single" w:sz="8" w:space="0" w:color="000000"/>
              <w:right w:val="single" w:sz="8" w:space="0" w:color="000000"/>
            </w:tcBorders>
            <w:vAlign w:val="bottom"/>
          </w:tcPr>
          <w:p w14:paraId="391555B4" w14:textId="77777777" w:rsidR="00B556DE" w:rsidRPr="00171C2D" w:rsidRDefault="00B556DE">
            <w:pPr>
              <w:widowControl w:val="0"/>
              <w:jc w:val="center"/>
              <w:rPr>
                <w:rFonts w:ascii="Avenir" w:eastAsia="Avenir" w:hAnsi="Avenir" w:cs="Avenir"/>
                <w:b/>
                <w:bCs/>
                <w:sz w:val="16"/>
                <w:szCs w:val="16"/>
                <w:lang w:val="en-GB"/>
              </w:rPr>
            </w:pPr>
          </w:p>
        </w:tc>
        <w:tc>
          <w:tcPr>
            <w:tcW w:w="2242" w:type="dxa"/>
            <w:gridSpan w:val="2"/>
            <w:tcBorders>
              <w:top w:val="single" w:sz="8" w:space="0" w:color="000000"/>
              <w:bottom w:val="single" w:sz="8" w:space="0" w:color="000000"/>
              <w:right w:val="single" w:sz="8" w:space="0" w:color="000000"/>
            </w:tcBorders>
            <w:vAlign w:val="bottom"/>
          </w:tcPr>
          <w:p w14:paraId="0285BBE0" w14:textId="77777777" w:rsidR="00B556DE" w:rsidRPr="00171C2D" w:rsidRDefault="000D6BB0">
            <w:pPr>
              <w:widowControl w:val="0"/>
              <w:jc w:val="center"/>
              <w:rPr>
                <w:rFonts w:ascii="Avenir" w:eastAsia="Avenir" w:hAnsi="Avenir" w:cs="Avenir"/>
                <w:b/>
                <w:bCs/>
                <w:sz w:val="16"/>
                <w:szCs w:val="16"/>
                <w:lang w:val="en-GB"/>
              </w:rPr>
            </w:pPr>
            <w:r w:rsidRPr="00171C2D">
              <w:rPr>
                <w:rFonts w:ascii="Avenir" w:eastAsia="Avenir" w:hAnsi="Avenir" w:cs="Avenir"/>
                <w:b/>
                <w:bCs/>
                <w:sz w:val="16"/>
                <w:szCs w:val="16"/>
                <w:lang w:val="en-GB"/>
              </w:rPr>
              <w:t xml:space="preserve">Conservatives </w:t>
            </w:r>
          </w:p>
        </w:tc>
        <w:tc>
          <w:tcPr>
            <w:tcW w:w="1990" w:type="dxa"/>
            <w:gridSpan w:val="2"/>
            <w:tcBorders>
              <w:top w:val="single" w:sz="8" w:space="0" w:color="000000"/>
              <w:bottom w:val="single" w:sz="8" w:space="0" w:color="000000"/>
              <w:right w:val="single" w:sz="8" w:space="0" w:color="000000"/>
            </w:tcBorders>
            <w:shd w:val="clear" w:color="auto" w:fill="auto"/>
            <w:vAlign w:val="bottom"/>
          </w:tcPr>
          <w:p w14:paraId="5F853FEA" w14:textId="77777777" w:rsidR="00B556DE" w:rsidRPr="00171C2D" w:rsidRDefault="000D6BB0">
            <w:pPr>
              <w:spacing w:line="240" w:lineRule="auto"/>
              <w:jc w:val="center"/>
              <w:rPr>
                <w:rFonts w:ascii="Avenir" w:eastAsia="Avenir" w:hAnsi="Avenir" w:cs="Avenir"/>
                <w:b/>
                <w:bCs/>
                <w:sz w:val="16"/>
                <w:szCs w:val="16"/>
                <w:lang w:val="en-GB"/>
              </w:rPr>
            </w:pPr>
            <w:r w:rsidRPr="00171C2D">
              <w:rPr>
                <w:rFonts w:ascii="Avenir" w:eastAsia="Avenir" w:hAnsi="Avenir" w:cs="Avenir"/>
                <w:b/>
                <w:bCs/>
                <w:sz w:val="16"/>
                <w:szCs w:val="16"/>
                <w:lang w:val="en-GB"/>
              </w:rPr>
              <w:t xml:space="preserve">Labour </w:t>
            </w:r>
          </w:p>
        </w:tc>
        <w:tc>
          <w:tcPr>
            <w:tcW w:w="2242" w:type="dxa"/>
            <w:gridSpan w:val="2"/>
            <w:tcBorders>
              <w:top w:val="single" w:sz="8" w:space="0" w:color="000000"/>
              <w:bottom w:val="single" w:sz="8" w:space="0" w:color="000000"/>
              <w:right w:val="single" w:sz="8" w:space="0" w:color="000000"/>
            </w:tcBorders>
            <w:shd w:val="clear" w:color="auto" w:fill="auto"/>
            <w:vAlign w:val="bottom"/>
          </w:tcPr>
          <w:p w14:paraId="15F1CF0D" w14:textId="77777777" w:rsidR="00B556DE" w:rsidRPr="00171C2D" w:rsidRDefault="000D6BB0">
            <w:pPr>
              <w:spacing w:line="240" w:lineRule="auto"/>
              <w:jc w:val="center"/>
              <w:rPr>
                <w:rFonts w:ascii="Avenir" w:eastAsia="Avenir" w:hAnsi="Avenir" w:cs="Avenir"/>
                <w:b/>
                <w:bCs/>
                <w:sz w:val="16"/>
                <w:szCs w:val="16"/>
                <w:lang w:val="en-GB"/>
              </w:rPr>
            </w:pPr>
            <w:r w:rsidRPr="00171C2D">
              <w:rPr>
                <w:rFonts w:ascii="Avenir" w:eastAsia="Avenir" w:hAnsi="Avenir" w:cs="Avenir"/>
                <w:b/>
                <w:bCs/>
                <w:sz w:val="16"/>
                <w:szCs w:val="16"/>
                <w:lang w:val="en-GB"/>
              </w:rPr>
              <w:t>Liberal Democrats</w:t>
            </w:r>
          </w:p>
        </w:tc>
        <w:tc>
          <w:tcPr>
            <w:tcW w:w="1635" w:type="dxa"/>
            <w:gridSpan w:val="2"/>
            <w:tcBorders>
              <w:top w:val="single" w:sz="8" w:space="0" w:color="000000"/>
              <w:bottom w:val="single" w:sz="8" w:space="0" w:color="000000"/>
              <w:right w:val="single" w:sz="8" w:space="0" w:color="000000"/>
            </w:tcBorders>
            <w:shd w:val="clear" w:color="auto" w:fill="auto"/>
            <w:vAlign w:val="bottom"/>
          </w:tcPr>
          <w:p w14:paraId="78A0E46F" w14:textId="77777777" w:rsidR="00B556DE" w:rsidRPr="00171C2D" w:rsidRDefault="000D6BB0">
            <w:pPr>
              <w:spacing w:line="240" w:lineRule="auto"/>
              <w:jc w:val="center"/>
              <w:rPr>
                <w:rFonts w:ascii="Avenir" w:eastAsia="Avenir" w:hAnsi="Avenir" w:cs="Avenir"/>
                <w:b/>
                <w:bCs/>
                <w:sz w:val="16"/>
                <w:szCs w:val="16"/>
                <w:lang w:val="en-GB"/>
              </w:rPr>
            </w:pPr>
            <w:r w:rsidRPr="00171C2D">
              <w:rPr>
                <w:rFonts w:ascii="Avenir" w:eastAsia="Avenir" w:hAnsi="Avenir" w:cs="Avenir"/>
                <w:b/>
                <w:bCs/>
                <w:sz w:val="16"/>
                <w:szCs w:val="16"/>
                <w:lang w:val="en-GB"/>
              </w:rPr>
              <w:t>Green Party</w:t>
            </w:r>
          </w:p>
        </w:tc>
        <w:tc>
          <w:tcPr>
            <w:tcW w:w="2251" w:type="dxa"/>
            <w:gridSpan w:val="3"/>
            <w:tcBorders>
              <w:top w:val="single" w:sz="8" w:space="0" w:color="000000"/>
              <w:bottom w:val="single" w:sz="8" w:space="0" w:color="000000"/>
              <w:right w:val="single" w:sz="8" w:space="0" w:color="000000"/>
            </w:tcBorders>
            <w:shd w:val="clear" w:color="auto" w:fill="auto"/>
            <w:vAlign w:val="bottom"/>
          </w:tcPr>
          <w:p w14:paraId="4F6877CD" w14:textId="77777777" w:rsidR="00B556DE" w:rsidRPr="00171C2D" w:rsidRDefault="000D6BB0">
            <w:pPr>
              <w:spacing w:line="240" w:lineRule="auto"/>
              <w:jc w:val="center"/>
              <w:rPr>
                <w:rFonts w:ascii="Avenir" w:eastAsia="Avenir" w:hAnsi="Avenir" w:cs="Avenir"/>
                <w:b/>
                <w:bCs/>
                <w:sz w:val="16"/>
                <w:szCs w:val="16"/>
                <w:lang w:val="en-GB"/>
              </w:rPr>
            </w:pPr>
            <w:r w:rsidRPr="00171C2D">
              <w:rPr>
                <w:rFonts w:ascii="Avenir" w:eastAsia="Avenir" w:hAnsi="Avenir" w:cs="Avenir"/>
                <w:b/>
                <w:bCs/>
                <w:sz w:val="16"/>
                <w:szCs w:val="16"/>
                <w:lang w:val="en-GB"/>
              </w:rPr>
              <w:t>Reform UK</w:t>
            </w:r>
          </w:p>
        </w:tc>
      </w:tr>
      <w:tr w:rsidR="00171C2D" w:rsidRPr="00171C2D" w14:paraId="12E3722E" w14:textId="77777777" w:rsidTr="006E5855">
        <w:trPr>
          <w:trHeight w:val="705"/>
        </w:trPr>
        <w:tc>
          <w:tcPr>
            <w:tcW w:w="218" w:type="dxa"/>
            <w:tcBorders>
              <w:left w:val="single" w:sz="8" w:space="0" w:color="000000"/>
              <w:bottom w:val="single" w:sz="8" w:space="0" w:color="000000"/>
              <w:right w:val="single" w:sz="8" w:space="0" w:color="000000"/>
            </w:tcBorders>
            <w:shd w:val="clear" w:color="auto" w:fill="auto"/>
            <w:vAlign w:val="bottom"/>
          </w:tcPr>
          <w:p w14:paraId="32C15003" w14:textId="77777777" w:rsidR="00B556DE" w:rsidRPr="00171C2D" w:rsidRDefault="000D6BB0">
            <w:pPr>
              <w:spacing w:line="240" w:lineRule="auto"/>
              <w:jc w:val="center"/>
              <w:rPr>
                <w:rFonts w:ascii="Avenir" w:eastAsia="Avenir" w:hAnsi="Avenir" w:cs="Avenir"/>
                <w:sz w:val="16"/>
                <w:szCs w:val="16"/>
                <w:lang w:val="en-GB"/>
              </w:rPr>
            </w:pPr>
            <w:r w:rsidRPr="00171C2D">
              <w:rPr>
                <w:rFonts w:ascii="Avenir" w:eastAsia="Avenir" w:hAnsi="Avenir" w:cs="Avenir"/>
                <w:sz w:val="16"/>
                <w:szCs w:val="16"/>
                <w:lang w:val="en-GB"/>
              </w:rPr>
              <w:t>1</w:t>
            </w:r>
          </w:p>
        </w:tc>
        <w:tc>
          <w:tcPr>
            <w:tcW w:w="1194" w:type="dxa"/>
            <w:tcBorders>
              <w:bottom w:val="single" w:sz="8" w:space="0" w:color="000000"/>
              <w:right w:val="single" w:sz="8" w:space="0" w:color="000000"/>
            </w:tcBorders>
            <w:shd w:val="clear" w:color="auto" w:fill="4472C4"/>
            <w:vAlign w:val="bottom"/>
          </w:tcPr>
          <w:p w14:paraId="3D2757D6" w14:textId="77777777" w:rsidR="00B556DE" w:rsidRPr="00171C2D" w:rsidRDefault="000D6BB0">
            <w:pPr>
              <w:spacing w:line="240" w:lineRule="auto"/>
              <w:jc w:val="center"/>
              <w:rPr>
                <w:rFonts w:ascii="Avenir" w:eastAsia="Avenir" w:hAnsi="Avenir" w:cs="Avenir"/>
                <w:sz w:val="16"/>
                <w:szCs w:val="16"/>
                <w:lang w:val="en-GB"/>
              </w:rPr>
            </w:pPr>
            <w:proofErr w:type="spellStart"/>
            <w:r w:rsidRPr="00171C2D">
              <w:rPr>
                <w:rFonts w:ascii="Avenir" w:eastAsia="Avenir" w:hAnsi="Avenir" w:cs="Avenir"/>
                <w:sz w:val="16"/>
                <w:szCs w:val="16"/>
                <w:lang w:val="en-GB"/>
              </w:rPr>
              <w:t>Whistl</w:t>
            </w:r>
            <w:proofErr w:type="spellEnd"/>
          </w:p>
        </w:tc>
        <w:tc>
          <w:tcPr>
            <w:tcW w:w="1048" w:type="dxa"/>
            <w:tcBorders>
              <w:bottom w:val="single" w:sz="8" w:space="0" w:color="000000"/>
              <w:right w:val="single" w:sz="8" w:space="0" w:color="000000"/>
            </w:tcBorders>
            <w:shd w:val="clear" w:color="auto" w:fill="auto"/>
            <w:vAlign w:val="bottom"/>
          </w:tcPr>
          <w:p w14:paraId="296170EE" w14:textId="2E0FE550"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2,436,522</w:t>
            </w:r>
          </w:p>
        </w:tc>
        <w:tc>
          <w:tcPr>
            <w:tcW w:w="942" w:type="dxa"/>
            <w:tcBorders>
              <w:bottom w:val="single" w:sz="8" w:space="0" w:color="000000"/>
              <w:right w:val="single" w:sz="8" w:space="0" w:color="000000"/>
            </w:tcBorders>
            <w:shd w:val="clear" w:color="auto" w:fill="4472C4"/>
            <w:vAlign w:val="bottom"/>
          </w:tcPr>
          <w:p w14:paraId="1A36192E" w14:textId="77777777" w:rsidR="00B556DE" w:rsidRPr="00171C2D" w:rsidRDefault="000D6BB0">
            <w:pPr>
              <w:spacing w:line="240" w:lineRule="auto"/>
              <w:jc w:val="center"/>
              <w:rPr>
                <w:rFonts w:ascii="Avenir" w:eastAsia="Avenir" w:hAnsi="Avenir" w:cs="Avenir"/>
                <w:sz w:val="16"/>
                <w:szCs w:val="16"/>
                <w:lang w:val="en-GB"/>
              </w:rPr>
            </w:pPr>
            <w:r w:rsidRPr="00171C2D">
              <w:rPr>
                <w:rFonts w:ascii="Avenir" w:eastAsia="Avenir" w:hAnsi="Avenir" w:cs="Avenir"/>
                <w:sz w:val="16"/>
                <w:szCs w:val="16"/>
                <w:lang w:val="en-GB"/>
              </w:rPr>
              <w:t>Facebook</w:t>
            </w:r>
          </w:p>
        </w:tc>
        <w:tc>
          <w:tcPr>
            <w:tcW w:w="1048" w:type="dxa"/>
            <w:tcBorders>
              <w:bottom w:val="single" w:sz="8" w:space="0" w:color="000000"/>
              <w:right w:val="single" w:sz="8" w:space="0" w:color="000000"/>
            </w:tcBorders>
            <w:shd w:val="clear" w:color="auto" w:fill="auto"/>
            <w:vAlign w:val="bottom"/>
          </w:tcPr>
          <w:p w14:paraId="2870AE76" w14:textId="6054CAD4"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2,407,441</w:t>
            </w:r>
          </w:p>
        </w:tc>
        <w:tc>
          <w:tcPr>
            <w:tcW w:w="1194" w:type="dxa"/>
            <w:tcBorders>
              <w:bottom w:val="single" w:sz="8" w:space="0" w:color="000000"/>
              <w:right w:val="single" w:sz="8" w:space="0" w:color="000000"/>
            </w:tcBorders>
            <w:shd w:val="clear" w:color="auto" w:fill="4472C4"/>
            <w:vAlign w:val="bottom"/>
          </w:tcPr>
          <w:p w14:paraId="05E1B9EA" w14:textId="77777777" w:rsidR="00B556DE" w:rsidRPr="00171C2D" w:rsidRDefault="000D6BB0">
            <w:pPr>
              <w:spacing w:line="240" w:lineRule="auto"/>
              <w:jc w:val="center"/>
              <w:rPr>
                <w:rFonts w:ascii="Avenir" w:eastAsia="Avenir" w:hAnsi="Avenir" w:cs="Avenir"/>
                <w:sz w:val="16"/>
                <w:szCs w:val="16"/>
                <w:lang w:val="en-GB"/>
              </w:rPr>
            </w:pPr>
            <w:r w:rsidRPr="00171C2D">
              <w:rPr>
                <w:rFonts w:ascii="Avenir" w:eastAsia="Avenir" w:hAnsi="Avenir" w:cs="Avenir"/>
                <w:sz w:val="16"/>
                <w:szCs w:val="16"/>
                <w:lang w:val="en-GB"/>
              </w:rPr>
              <w:t xml:space="preserve">Postal Choices Ltd t/a </w:t>
            </w:r>
            <w:proofErr w:type="spellStart"/>
            <w:r w:rsidRPr="00171C2D">
              <w:rPr>
                <w:rFonts w:ascii="Avenir" w:eastAsia="Avenir" w:hAnsi="Avenir" w:cs="Avenir"/>
                <w:sz w:val="16"/>
                <w:szCs w:val="16"/>
                <w:lang w:val="en-GB"/>
              </w:rPr>
              <w:t>Onepost</w:t>
            </w:r>
            <w:proofErr w:type="spellEnd"/>
          </w:p>
        </w:tc>
        <w:tc>
          <w:tcPr>
            <w:tcW w:w="1048" w:type="dxa"/>
            <w:tcBorders>
              <w:bottom w:val="single" w:sz="8" w:space="0" w:color="000000"/>
              <w:right w:val="single" w:sz="8" w:space="0" w:color="000000"/>
            </w:tcBorders>
            <w:shd w:val="clear" w:color="auto" w:fill="auto"/>
            <w:vAlign w:val="bottom"/>
          </w:tcPr>
          <w:p w14:paraId="3FA5FFB4" w14:textId="0BDEFF7C"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3,028,321</w:t>
            </w:r>
          </w:p>
        </w:tc>
        <w:tc>
          <w:tcPr>
            <w:tcW w:w="797" w:type="dxa"/>
            <w:tcBorders>
              <w:bottom w:val="single" w:sz="8" w:space="0" w:color="000000"/>
              <w:right w:val="single" w:sz="8" w:space="0" w:color="000000"/>
            </w:tcBorders>
            <w:shd w:val="clear" w:color="auto" w:fill="4472C4"/>
            <w:vAlign w:val="bottom"/>
          </w:tcPr>
          <w:p w14:paraId="5E4F70FC" w14:textId="77777777" w:rsidR="00B556DE" w:rsidRPr="00171C2D" w:rsidRDefault="000D6BB0">
            <w:pPr>
              <w:spacing w:line="240" w:lineRule="auto"/>
              <w:jc w:val="center"/>
              <w:rPr>
                <w:rFonts w:ascii="Avenir" w:eastAsia="Avenir" w:hAnsi="Avenir" w:cs="Avenir"/>
                <w:sz w:val="16"/>
                <w:szCs w:val="16"/>
                <w:lang w:val="en-GB"/>
              </w:rPr>
            </w:pPr>
            <w:r w:rsidRPr="00171C2D">
              <w:rPr>
                <w:rFonts w:ascii="Avenir" w:eastAsia="Avenir" w:hAnsi="Avenir" w:cs="Avenir"/>
                <w:sz w:val="16"/>
                <w:szCs w:val="16"/>
                <w:lang w:val="en-GB"/>
              </w:rPr>
              <w:t>Facebook</w:t>
            </w:r>
          </w:p>
        </w:tc>
        <w:tc>
          <w:tcPr>
            <w:tcW w:w="838" w:type="dxa"/>
            <w:tcBorders>
              <w:bottom w:val="single" w:sz="8" w:space="0" w:color="000000"/>
              <w:right w:val="single" w:sz="8" w:space="0" w:color="000000"/>
            </w:tcBorders>
            <w:shd w:val="clear" w:color="auto" w:fill="auto"/>
            <w:vAlign w:val="bottom"/>
          </w:tcPr>
          <w:p w14:paraId="28AE5029" w14:textId="4ECC6DC2"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93,499</w:t>
            </w:r>
          </w:p>
        </w:tc>
        <w:tc>
          <w:tcPr>
            <w:tcW w:w="1118" w:type="dxa"/>
            <w:tcBorders>
              <w:bottom w:val="single" w:sz="8" w:space="0" w:color="000000"/>
              <w:right w:val="single" w:sz="8" w:space="0" w:color="000000"/>
            </w:tcBorders>
            <w:shd w:val="clear" w:color="auto" w:fill="4472C4"/>
            <w:vAlign w:val="bottom"/>
          </w:tcPr>
          <w:p w14:paraId="4245FBDA" w14:textId="77777777" w:rsidR="00B556DE" w:rsidRPr="00171C2D" w:rsidRDefault="000D6BB0">
            <w:pPr>
              <w:spacing w:line="240" w:lineRule="auto"/>
              <w:jc w:val="center"/>
              <w:rPr>
                <w:rFonts w:ascii="Avenir" w:eastAsia="Avenir" w:hAnsi="Avenir" w:cs="Avenir"/>
                <w:sz w:val="16"/>
                <w:szCs w:val="16"/>
                <w:lang w:val="en-GB"/>
              </w:rPr>
            </w:pPr>
            <w:r w:rsidRPr="00171C2D">
              <w:rPr>
                <w:rFonts w:ascii="Avenir" w:eastAsia="Avenir" w:hAnsi="Avenir" w:cs="Avenir"/>
                <w:sz w:val="16"/>
                <w:szCs w:val="16"/>
                <w:lang w:val="en-GB"/>
              </w:rPr>
              <w:t>Facebook</w:t>
            </w:r>
          </w:p>
        </w:tc>
        <w:tc>
          <w:tcPr>
            <w:tcW w:w="927" w:type="dxa"/>
            <w:tcBorders>
              <w:bottom w:val="single" w:sz="8" w:space="0" w:color="000000"/>
              <w:right w:val="single" w:sz="8" w:space="0" w:color="000000"/>
            </w:tcBorders>
            <w:shd w:val="clear" w:color="auto" w:fill="auto"/>
            <w:vAlign w:val="bottom"/>
          </w:tcPr>
          <w:p w14:paraId="11DBB490" w14:textId="502B2809"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588,504</w:t>
            </w:r>
          </w:p>
        </w:tc>
        <w:tc>
          <w:tcPr>
            <w:tcW w:w="206" w:type="dxa"/>
            <w:tcMar>
              <w:top w:w="100" w:type="dxa"/>
              <w:left w:w="100" w:type="dxa"/>
              <w:right w:w="100" w:type="dxa"/>
            </w:tcMar>
          </w:tcPr>
          <w:p w14:paraId="34AAAE09" w14:textId="77777777" w:rsidR="00B556DE" w:rsidRPr="00171C2D" w:rsidRDefault="00B556DE"/>
        </w:tc>
      </w:tr>
      <w:tr w:rsidR="00171C2D" w:rsidRPr="00171C2D" w14:paraId="54599798" w14:textId="77777777" w:rsidTr="006E5855">
        <w:trPr>
          <w:trHeight w:val="915"/>
        </w:trPr>
        <w:tc>
          <w:tcPr>
            <w:tcW w:w="218" w:type="dxa"/>
            <w:tcBorders>
              <w:left w:val="single" w:sz="8" w:space="0" w:color="000000"/>
              <w:bottom w:val="single" w:sz="8" w:space="0" w:color="000000"/>
              <w:right w:val="single" w:sz="8" w:space="0" w:color="000000"/>
            </w:tcBorders>
            <w:shd w:val="clear" w:color="auto" w:fill="auto"/>
            <w:vAlign w:val="bottom"/>
          </w:tcPr>
          <w:p w14:paraId="3A9FF932" w14:textId="77777777" w:rsidR="00B556DE" w:rsidRPr="00171C2D" w:rsidRDefault="000D6BB0">
            <w:pPr>
              <w:spacing w:line="240" w:lineRule="auto"/>
              <w:jc w:val="center"/>
              <w:rPr>
                <w:rFonts w:ascii="Avenir" w:eastAsia="Avenir" w:hAnsi="Avenir" w:cs="Avenir"/>
                <w:sz w:val="16"/>
                <w:szCs w:val="16"/>
                <w:lang w:val="en-GB"/>
              </w:rPr>
            </w:pPr>
            <w:r w:rsidRPr="00171C2D">
              <w:rPr>
                <w:rFonts w:ascii="Avenir" w:eastAsia="Avenir" w:hAnsi="Avenir" w:cs="Avenir"/>
                <w:sz w:val="16"/>
                <w:szCs w:val="16"/>
                <w:lang w:val="en-GB"/>
              </w:rPr>
              <w:t>2</w:t>
            </w:r>
          </w:p>
        </w:tc>
        <w:tc>
          <w:tcPr>
            <w:tcW w:w="1194" w:type="dxa"/>
            <w:tcBorders>
              <w:bottom w:val="single" w:sz="8" w:space="0" w:color="000000"/>
              <w:right w:val="single" w:sz="8" w:space="0" w:color="000000"/>
            </w:tcBorders>
            <w:shd w:val="clear" w:color="auto" w:fill="auto"/>
            <w:vAlign w:val="bottom"/>
          </w:tcPr>
          <w:p w14:paraId="2627CCA1" w14:textId="77777777" w:rsidR="00B556DE" w:rsidRPr="00171C2D" w:rsidRDefault="000D6BB0">
            <w:pPr>
              <w:spacing w:line="240" w:lineRule="auto"/>
              <w:jc w:val="center"/>
              <w:rPr>
                <w:rFonts w:ascii="Avenir" w:eastAsia="Avenir" w:hAnsi="Avenir" w:cs="Avenir"/>
                <w:sz w:val="16"/>
                <w:szCs w:val="16"/>
                <w:lang w:val="en-GB"/>
              </w:rPr>
            </w:pPr>
            <w:r w:rsidRPr="00171C2D">
              <w:rPr>
                <w:rFonts w:ascii="Avenir" w:eastAsia="Avenir" w:hAnsi="Avenir" w:cs="Avenir"/>
                <w:sz w:val="16"/>
                <w:szCs w:val="16"/>
                <w:lang w:val="en-GB"/>
              </w:rPr>
              <w:t>CTF Partners Limited</w:t>
            </w:r>
          </w:p>
        </w:tc>
        <w:tc>
          <w:tcPr>
            <w:tcW w:w="1048" w:type="dxa"/>
            <w:tcBorders>
              <w:bottom w:val="single" w:sz="8" w:space="0" w:color="000000"/>
              <w:right w:val="single" w:sz="8" w:space="0" w:color="000000"/>
            </w:tcBorders>
            <w:shd w:val="clear" w:color="auto" w:fill="auto"/>
            <w:vAlign w:val="bottom"/>
          </w:tcPr>
          <w:p w14:paraId="5FE211AE" w14:textId="34A86B24"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1,689,000</w:t>
            </w:r>
          </w:p>
        </w:tc>
        <w:tc>
          <w:tcPr>
            <w:tcW w:w="942" w:type="dxa"/>
            <w:tcBorders>
              <w:bottom w:val="single" w:sz="8" w:space="0" w:color="000000"/>
              <w:right w:val="single" w:sz="8" w:space="0" w:color="000000"/>
            </w:tcBorders>
            <w:shd w:val="clear" w:color="auto" w:fill="auto"/>
            <w:vAlign w:val="bottom"/>
          </w:tcPr>
          <w:p w14:paraId="7ECD2E34" w14:textId="77777777" w:rsidR="00B556DE" w:rsidRPr="00171C2D" w:rsidRDefault="000D6BB0">
            <w:pPr>
              <w:spacing w:line="240" w:lineRule="auto"/>
              <w:jc w:val="center"/>
              <w:rPr>
                <w:rFonts w:ascii="Avenir" w:eastAsia="Avenir" w:hAnsi="Avenir" w:cs="Avenir"/>
                <w:sz w:val="16"/>
                <w:szCs w:val="16"/>
                <w:lang w:val="en-GB"/>
              </w:rPr>
            </w:pPr>
            <w:r w:rsidRPr="00171C2D">
              <w:rPr>
                <w:rFonts w:ascii="Avenir" w:eastAsia="Avenir" w:hAnsi="Avenir" w:cs="Avenir"/>
                <w:sz w:val="16"/>
                <w:szCs w:val="16"/>
                <w:lang w:val="en-GB"/>
              </w:rPr>
              <w:t>Sterling</w:t>
            </w:r>
          </w:p>
        </w:tc>
        <w:tc>
          <w:tcPr>
            <w:tcW w:w="1048" w:type="dxa"/>
            <w:tcBorders>
              <w:bottom w:val="single" w:sz="8" w:space="0" w:color="000000"/>
              <w:right w:val="single" w:sz="8" w:space="0" w:color="000000"/>
            </w:tcBorders>
            <w:shd w:val="clear" w:color="auto" w:fill="auto"/>
            <w:vAlign w:val="bottom"/>
          </w:tcPr>
          <w:p w14:paraId="2072739C" w14:textId="2A4DF166"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1,319,227</w:t>
            </w:r>
          </w:p>
        </w:tc>
        <w:tc>
          <w:tcPr>
            <w:tcW w:w="1194" w:type="dxa"/>
            <w:tcBorders>
              <w:bottom w:val="single" w:sz="8" w:space="0" w:color="000000"/>
              <w:right w:val="single" w:sz="8" w:space="0" w:color="000000"/>
            </w:tcBorders>
            <w:shd w:val="clear" w:color="auto" w:fill="4472C4"/>
            <w:vAlign w:val="bottom"/>
          </w:tcPr>
          <w:p w14:paraId="61C9DEBE" w14:textId="3A33AC5A" w:rsidR="00B556DE" w:rsidRPr="00171C2D" w:rsidRDefault="000D6BB0">
            <w:pPr>
              <w:spacing w:line="240" w:lineRule="auto"/>
              <w:jc w:val="center"/>
              <w:rPr>
                <w:rFonts w:ascii="Avenir" w:eastAsia="Avenir" w:hAnsi="Avenir" w:cs="Avenir"/>
                <w:sz w:val="16"/>
                <w:szCs w:val="16"/>
                <w:lang w:val="en-GB"/>
              </w:rPr>
            </w:pPr>
            <w:r w:rsidRPr="00171C2D">
              <w:rPr>
                <w:rFonts w:ascii="Avenir" w:eastAsia="Avenir" w:hAnsi="Avenir" w:cs="Avenir"/>
                <w:sz w:val="16"/>
                <w:szCs w:val="16"/>
                <w:lang w:val="en-GB"/>
              </w:rPr>
              <w:t>Paragon Customer Communications Ltd</w:t>
            </w:r>
          </w:p>
        </w:tc>
        <w:tc>
          <w:tcPr>
            <w:tcW w:w="1048" w:type="dxa"/>
            <w:tcBorders>
              <w:bottom w:val="single" w:sz="8" w:space="0" w:color="000000"/>
              <w:right w:val="single" w:sz="8" w:space="0" w:color="000000"/>
            </w:tcBorders>
            <w:shd w:val="clear" w:color="auto" w:fill="auto"/>
            <w:vAlign w:val="bottom"/>
          </w:tcPr>
          <w:p w14:paraId="18730C46" w14:textId="2F6AFA35"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2,220,759</w:t>
            </w:r>
          </w:p>
        </w:tc>
        <w:tc>
          <w:tcPr>
            <w:tcW w:w="797" w:type="dxa"/>
            <w:tcBorders>
              <w:bottom w:val="single" w:sz="8" w:space="0" w:color="000000"/>
              <w:right w:val="single" w:sz="8" w:space="0" w:color="000000"/>
            </w:tcBorders>
            <w:shd w:val="clear" w:color="auto" w:fill="auto"/>
            <w:vAlign w:val="bottom"/>
          </w:tcPr>
          <w:p w14:paraId="10AA8677" w14:textId="77777777" w:rsidR="00B556DE" w:rsidRPr="00171C2D" w:rsidRDefault="000D6BB0">
            <w:pPr>
              <w:spacing w:line="240" w:lineRule="auto"/>
              <w:jc w:val="center"/>
              <w:rPr>
                <w:rFonts w:ascii="Avenir" w:eastAsia="Avenir" w:hAnsi="Avenir" w:cs="Avenir"/>
                <w:sz w:val="16"/>
                <w:szCs w:val="16"/>
                <w:lang w:val="en-GB"/>
              </w:rPr>
            </w:pPr>
            <w:r w:rsidRPr="00171C2D">
              <w:rPr>
                <w:rFonts w:ascii="Avenir" w:eastAsia="Avenir" w:hAnsi="Avenir" w:cs="Avenir"/>
                <w:sz w:val="16"/>
                <w:szCs w:val="16"/>
                <w:lang w:val="en-GB"/>
              </w:rPr>
              <w:t>Reform Act</w:t>
            </w:r>
          </w:p>
        </w:tc>
        <w:tc>
          <w:tcPr>
            <w:tcW w:w="838" w:type="dxa"/>
            <w:tcBorders>
              <w:bottom w:val="single" w:sz="8" w:space="0" w:color="000000"/>
              <w:right w:val="single" w:sz="8" w:space="0" w:color="000000"/>
            </w:tcBorders>
            <w:shd w:val="clear" w:color="auto" w:fill="auto"/>
            <w:vAlign w:val="bottom"/>
          </w:tcPr>
          <w:p w14:paraId="78F53D12" w14:textId="3E908A19"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38,855</w:t>
            </w:r>
          </w:p>
        </w:tc>
        <w:tc>
          <w:tcPr>
            <w:tcW w:w="1118" w:type="dxa"/>
            <w:tcBorders>
              <w:bottom w:val="single" w:sz="8" w:space="0" w:color="000000"/>
              <w:right w:val="single" w:sz="8" w:space="0" w:color="000000"/>
            </w:tcBorders>
            <w:shd w:val="clear" w:color="auto" w:fill="auto"/>
            <w:vAlign w:val="bottom"/>
          </w:tcPr>
          <w:p w14:paraId="7334E46E" w14:textId="77777777" w:rsidR="00B556DE" w:rsidRPr="00171C2D" w:rsidRDefault="000D6BB0">
            <w:pPr>
              <w:spacing w:line="240" w:lineRule="auto"/>
              <w:jc w:val="center"/>
              <w:rPr>
                <w:rFonts w:ascii="Avenir" w:eastAsia="Avenir" w:hAnsi="Avenir" w:cs="Avenir"/>
                <w:sz w:val="16"/>
                <w:szCs w:val="16"/>
                <w:lang w:val="en-GB"/>
              </w:rPr>
            </w:pPr>
            <w:r w:rsidRPr="00171C2D">
              <w:rPr>
                <w:rFonts w:ascii="Avenir" w:eastAsia="Avenir" w:hAnsi="Avenir" w:cs="Avenir"/>
                <w:sz w:val="16"/>
                <w:szCs w:val="16"/>
                <w:lang w:val="en-GB"/>
              </w:rPr>
              <w:t>COR Research</w:t>
            </w:r>
          </w:p>
        </w:tc>
        <w:tc>
          <w:tcPr>
            <w:tcW w:w="927" w:type="dxa"/>
            <w:tcBorders>
              <w:bottom w:val="single" w:sz="8" w:space="0" w:color="000000"/>
              <w:right w:val="single" w:sz="8" w:space="0" w:color="000000"/>
            </w:tcBorders>
            <w:shd w:val="clear" w:color="auto" w:fill="auto"/>
            <w:vAlign w:val="bottom"/>
          </w:tcPr>
          <w:p w14:paraId="4F2C4AC5" w14:textId="2EDB874D"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477,160</w:t>
            </w:r>
          </w:p>
        </w:tc>
        <w:tc>
          <w:tcPr>
            <w:tcW w:w="206" w:type="dxa"/>
            <w:tcMar>
              <w:top w:w="100" w:type="dxa"/>
              <w:left w:w="100" w:type="dxa"/>
              <w:right w:w="100" w:type="dxa"/>
            </w:tcMar>
          </w:tcPr>
          <w:p w14:paraId="713D3650" w14:textId="77777777" w:rsidR="00B556DE" w:rsidRPr="00171C2D" w:rsidRDefault="00B556DE"/>
        </w:tc>
      </w:tr>
      <w:tr w:rsidR="00171C2D" w:rsidRPr="00171C2D" w14:paraId="0952C37A" w14:textId="77777777" w:rsidTr="006E5855">
        <w:trPr>
          <w:trHeight w:val="795"/>
        </w:trPr>
        <w:tc>
          <w:tcPr>
            <w:tcW w:w="218" w:type="dxa"/>
            <w:tcBorders>
              <w:left w:val="single" w:sz="8" w:space="0" w:color="000000"/>
              <w:bottom w:val="single" w:sz="8" w:space="0" w:color="000000"/>
              <w:right w:val="single" w:sz="8" w:space="0" w:color="000000"/>
            </w:tcBorders>
            <w:shd w:val="clear" w:color="auto" w:fill="auto"/>
            <w:vAlign w:val="bottom"/>
          </w:tcPr>
          <w:p w14:paraId="0C1977DE" w14:textId="77777777" w:rsidR="00B556DE" w:rsidRPr="00171C2D" w:rsidRDefault="000D6BB0">
            <w:pPr>
              <w:spacing w:line="240" w:lineRule="auto"/>
              <w:jc w:val="center"/>
              <w:rPr>
                <w:rFonts w:ascii="Avenir" w:eastAsia="Avenir" w:hAnsi="Avenir" w:cs="Avenir"/>
                <w:sz w:val="16"/>
                <w:szCs w:val="16"/>
                <w:lang w:val="en-GB"/>
              </w:rPr>
            </w:pPr>
            <w:r w:rsidRPr="00171C2D">
              <w:rPr>
                <w:rFonts w:ascii="Avenir" w:eastAsia="Avenir" w:hAnsi="Avenir" w:cs="Avenir"/>
                <w:sz w:val="16"/>
                <w:szCs w:val="16"/>
                <w:lang w:val="en-GB"/>
              </w:rPr>
              <w:t>3</w:t>
            </w:r>
          </w:p>
        </w:tc>
        <w:tc>
          <w:tcPr>
            <w:tcW w:w="1194" w:type="dxa"/>
            <w:tcBorders>
              <w:bottom w:val="single" w:sz="8" w:space="0" w:color="000000"/>
              <w:right w:val="single" w:sz="8" w:space="0" w:color="000000"/>
            </w:tcBorders>
            <w:shd w:val="clear" w:color="auto" w:fill="4472C4"/>
            <w:vAlign w:val="bottom"/>
          </w:tcPr>
          <w:p w14:paraId="4818245D" w14:textId="77777777" w:rsidR="00B556DE" w:rsidRPr="00171C2D" w:rsidRDefault="000D6BB0">
            <w:pPr>
              <w:spacing w:line="240" w:lineRule="auto"/>
              <w:jc w:val="center"/>
              <w:rPr>
                <w:rFonts w:ascii="Avenir" w:eastAsia="Avenir" w:hAnsi="Avenir" w:cs="Avenir"/>
                <w:sz w:val="16"/>
                <w:szCs w:val="16"/>
                <w:lang w:val="en-GB"/>
              </w:rPr>
            </w:pPr>
            <w:r w:rsidRPr="00171C2D">
              <w:rPr>
                <w:rFonts w:ascii="Avenir" w:eastAsia="Avenir" w:hAnsi="Avenir" w:cs="Avenir"/>
                <w:sz w:val="16"/>
                <w:szCs w:val="16"/>
                <w:lang w:val="en-GB"/>
              </w:rPr>
              <w:t>Paragon Customer Communications Ltd</w:t>
            </w:r>
          </w:p>
        </w:tc>
        <w:tc>
          <w:tcPr>
            <w:tcW w:w="1048" w:type="dxa"/>
            <w:tcBorders>
              <w:bottom w:val="single" w:sz="8" w:space="0" w:color="000000"/>
              <w:right w:val="single" w:sz="8" w:space="0" w:color="000000"/>
            </w:tcBorders>
            <w:shd w:val="clear" w:color="auto" w:fill="auto"/>
            <w:vAlign w:val="bottom"/>
          </w:tcPr>
          <w:p w14:paraId="6137DDC6" w14:textId="24AB76CD"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1,339,540</w:t>
            </w:r>
          </w:p>
        </w:tc>
        <w:tc>
          <w:tcPr>
            <w:tcW w:w="942" w:type="dxa"/>
            <w:tcBorders>
              <w:bottom w:val="single" w:sz="8" w:space="0" w:color="000000"/>
              <w:right w:val="single" w:sz="8" w:space="0" w:color="000000"/>
            </w:tcBorders>
            <w:shd w:val="clear" w:color="auto" w:fill="4472C4"/>
            <w:vAlign w:val="bottom"/>
          </w:tcPr>
          <w:p w14:paraId="3743D48A" w14:textId="77777777" w:rsidR="00B556DE" w:rsidRPr="00171C2D" w:rsidRDefault="000D6BB0">
            <w:pPr>
              <w:spacing w:line="240" w:lineRule="auto"/>
              <w:jc w:val="center"/>
              <w:rPr>
                <w:rFonts w:ascii="Avenir" w:eastAsia="Avenir" w:hAnsi="Avenir" w:cs="Avenir"/>
                <w:sz w:val="16"/>
                <w:szCs w:val="16"/>
                <w:lang w:val="en-GB"/>
              </w:rPr>
            </w:pPr>
            <w:proofErr w:type="spellStart"/>
            <w:r w:rsidRPr="00171C2D">
              <w:rPr>
                <w:rFonts w:ascii="Avenir" w:eastAsia="Avenir" w:hAnsi="Avenir" w:cs="Avenir"/>
                <w:sz w:val="16"/>
                <w:szCs w:val="16"/>
                <w:lang w:val="en-GB"/>
              </w:rPr>
              <w:t>Whistl</w:t>
            </w:r>
            <w:proofErr w:type="spellEnd"/>
          </w:p>
        </w:tc>
        <w:tc>
          <w:tcPr>
            <w:tcW w:w="1048" w:type="dxa"/>
            <w:tcBorders>
              <w:bottom w:val="single" w:sz="8" w:space="0" w:color="000000"/>
              <w:right w:val="single" w:sz="8" w:space="0" w:color="000000"/>
            </w:tcBorders>
            <w:shd w:val="clear" w:color="auto" w:fill="auto"/>
            <w:vAlign w:val="bottom"/>
          </w:tcPr>
          <w:p w14:paraId="403D8348" w14:textId="59A1BDE7"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1,248,431</w:t>
            </w:r>
          </w:p>
        </w:tc>
        <w:tc>
          <w:tcPr>
            <w:tcW w:w="1194" w:type="dxa"/>
            <w:tcBorders>
              <w:bottom w:val="single" w:sz="8" w:space="0" w:color="000000"/>
              <w:right w:val="single" w:sz="8" w:space="0" w:color="000000"/>
            </w:tcBorders>
            <w:shd w:val="clear" w:color="auto" w:fill="4472C4"/>
            <w:vAlign w:val="bottom"/>
          </w:tcPr>
          <w:p w14:paraId="12E23022" w14:textId="77777777" w:rsidR="00B556DE" w:rsidRPr="00171C2D" w:rsidRDefault="000D6BB0">
            <w:pPr>
              <w:spacing w:line="240" w:lineRule="auto"/>
              <w:jc w:val="center"/>
              <w:rPr>
                <w:rFonts w:ascii="Avenir" w:eastAsia="Avenir" w:hAnsi="Avenir" w:cs="Avenir"/>
                <w:sz w:val="16"/>
                <w:szCs w:val="16"/>
                <w:lang w:val="en-GB"/>
              </w:rPr>
            </w:pPr>
            <w:r w:rsidRPr="00171C2D">
              <w:rPr>
                <w:rFonts w:ascii="Avenir" w:eastAsia="Avenir" w:hAnsi="Avenir" w:cs="Avenir"/>
                <w:sz w:val="16"/>
                <w:szCs w:val="16"/>
                <w:lang w:val="en-GB"/>
              </w:rPr>
              <w:t>Royal Mail Group</w:t>
            </w:r>
          </w:p>
        </w:tc>
        <w:tc>
          <w:tcPr>
            <w:tcW w:w="1048" w:type="dxa"/>
            <w:tcBorders>
              <w:bottom w:val="single" w:sz="8" w:space="0" w:color="000000"/>
              <w:right w:val="single" w:sz="8" w:space="0" w:color="000000"/>
            </w:tcBorders>
            <w:shd w:val="clear" w:color="auto" w:fill="auto"/>
            <w:vAlign w:val="bottom"/>
          </w:tcPr>
          <w:p w14:paraId="0A5D4D10" w14:textId="51E36C4C"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1,366,606</w:t>
            </w:r>
          </w:p>
        </w:tc>
        <w:tc>
          <w:tcPr>
            <w:tcW w:w="797" w:type="dxa"/>
            <w:tcBorders>
              <w:bottom w:val="single" w:sz="8" w:space="0" w:color="000000"/>
              <w:right w:val="single" w:sz="8" w:space="0" w:color="000000"/>
            </w:tcBorders>
            <w:shd w:val="clear" w:color="auto" w:fill="4472C4"/>
            <w:vAlign w:val="bottom"/>
          </w:tcPr>
          <w:p w14:paraId="386227F1" w14:textId="77777777" w:rsidR="00B556DE" w:rsidRPr="00171C2D" w:rsidRDefault="000D6BB0">
            <w:pPr>
              <w:spacing w:line="240" w:lineRule="auto"/>
              <w:jc w:val="center"/>
              <w:rPr>
                <w:rFonts w:ascii="Avenir" w:eastAsia="Avenir" w:hAnsi="Avenir" w:cs="Avenir"/>
                <w:sz w:val="16"/>
                <w:szCs w:val="16"/>
                <w:lang w:val="en-GB"/>
              </w:rPr>
            </w:pPr>
            <w:r w:rsidRPr="00171C2D">
              <w:rPr>
                <w:rFonts w:ascii="Avenir" w:eastAsia="Avenir" w:hAnsi="Avenir" w:cs="Avenir"/>
                <w:sz w:val="16"/>
                <w:szCs w:val="16"/>
                <w:lang w:val="en-GB"/>
              </w:rPr>
              <w:t>Acanthus Press Ltd</w:t>
            </w:r>
          </w:p>
        </w:tc>
        <w:tc>
          <w:tcPr>
            <w:tcW w:w="838" w:type="dxa"/>
            <w:tcBorders>
              <w:bottom w:val="single" w:sz="8" w:space="0" w:color="000000"/>
              <w:right w:val="single" w:sz="8" w:space="0" w:color="000000"/>
            </w:tcBorders>
            <w:shd w:val="clear" w:color="auto" w:fill="auto"/>
            <w:vAlign w:val="bottom"/>
          </w:tcPr>
          <w:p w14:paraId="28A32D2E" w14:textId="50DEB29D"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19,350</w:t>
            </w:r>
          </w:p>
        </w:tc>
        <w:tc>
          <w:tcPr>
            <w:tcW w:w="1118" w:type="dxa"/>
            <w:tcBorders>
              <w:bottom w:val="single" w:sz="8" w:space="0" w:color="000000"/>
              <w:right w:val="single" w:sz="8" w:space="0" w:color="000000"/>
            </w:tcBorders>
            <w:shd w:val="clear" w:color="auto" w:fill="auto"/>
            <w:vAlign w:val="bottom"/>
          </w:tcPr>
          <w:p w14:paraId="17091561" w14:textId="77777777" w:rsidR="00B556DE" w:rsidRPr="00171C2D" w:rsidRDefault="000D6BB0">
            <w:pPr>
              <w:spacing w:line="240" w:lineRule="auto"/>
              <w:jc w:val="center"/>
              <w:rPr>
                <w:rFonts w:ascii="Avenir" w:eastAsia="Avenir" w:hAnsi="Avenir" w:cs="Avenir"/>
                <w:sz w:val="16"/>
                <w:szCs w:val="16"/>
                <w:lang w:val="en-GB"/>
              </w:rPr>
            </w:pPr>
            <w:r w:rsidRPr="00171C2D">
              <w:rPr>
                <w:rFonts w:ascii="Avenir" w:eastAsia="Avenir" w:hAnsi="Avenir" w:cs="Avenir"/>
                <w:sz w:val="16"/>
                <w:szCs w:val="16"/>
                <w:lang w:val="en-GB"/>
              </w:rPr>
              <w:t>YOU Agency Ltd</w:t>
            </w:r>
          </w:p>
        </w:tc>
        <w:tc>
          <w:tcPr>
            <w:tcW w:w="927" w:type="dxa"/>
            <w:tcBorders>
              <w:bottom w:val="single" w:sz="8" w:space="0" w:color="000000"/>
              <w:right w:val="single" w:sz="8" w:space="0" w:color="000000"/>
            </w:tcBorders>
            <w:shd w:val="clear" w:color="auto" w:fill="auto"/>
            <w:vAlign w:val="bottom"/>
          </w:tcPr>
          <w:p w14:paraId="5285F1A5" w14:textId="164D4981"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396,862</w:t>
            </w:r>
          </w:p>
        </w:tc>
        <w:tc>
          <w:tcPr>
            <w:tcW w:w="206" w:type="dxa"/>
            <w:tcMar>
              <w:top w:w="100" w:type="dxa"/>
              <w:left w:w="100" w:type="dxa"/>
              <w:right w:w="100" w:type="dxa"/>
            </w:tcMar>
          </w:tcPr>
          <w:p w14:paraId="779424C0" w14:textId="77777777" w:rsidR="00B556DE" w:rsidRPr="00171C2D" w:rsidRDefault="00B556DE"/>
        </w:tc>
      </w:tr>
      <w:tr w:rsidR="00171C2D" w:rsidRPr="00171C2D" w14:paraId="120116F2" w14:textId="77777777" w:rsidTr="006E5855">
        <w:trPr>
          <w:trHeight w:val="660"/>
        </w:trPr>
        <w:tc>
          <w:tcPr>
            <w:tcW w:w="218" w:type="dxa"/>
            <w:tcBorders>
              <w:left w:val="single" w:sz="8" w:space="0" w:color="000000"/>
              <w:bottom w:val="single" w:sz="8" w:space="0" w:color="000000"/>
              <w:right w:val="single" w:sz="8" w:space="0" w:color="000000"/>
            </w:tcBorders>
            <w:shd w:val="clear" w:color="auto" w:fill="auto"/>
            <w:vAlign w:val="bottom"/>
          </w:tcPr>
          <w:p w14:paraId="4721DE2F" w14:textId="77777777" w:rsidR="00B556DE" w:rsidRPr="00171C2D" w:rsidRDefault="000D6BB0">
            <w:pPr>
              <w:spacing w:line="240" w:lineRule="auto"/>
              <w:jc w:val="center"/>
              <w:rPr>
                <w:rFonts w:ascii="Avenir" w:eastAsia="Avenir" w:hAnsi="Avenir" w:cs="Avenir"/>
                <w:sz w:val="16"/>
                <w:szCs w:val="16"/>
                <w:lang w:val="en-GB"/>
              </w:rPr>
            </w:pPr>
            <w:r w:rsidRPr="00171C2D">
              <w:rPr>
                <w:rFonts w:ascii="Avenir" w:eastAsia="Avenir" w:hAnsi="Avenir" w:cs="Avenir"/>
                <w:sz w:val="16"/>
                <w:szCs w:val="16"/>
                <w:lang w:val="en-GB"/>
              </w:rPr>
              <w:t>4</w:t>
            </w:r>
          </w:p>
        </w:tc>
        <w:tc>
          <w:tcPr>
            <w:tcW w:w="1194" w:type="dxa"/>
            <w:tcBorders>
              <w:bottom w:val="single" w:sz="8" w:space="0" w:color="000000"/>
              <w:right w:val="single" w:sz="8" w:space="0" w:color="000000"/>
            </w:tcBorders>
            <w:shd w:val="clear" w:color="auto" w:fill="4472C4"/>
            <w:vAlign w:val="bottom"/>
          </w:tcPr>
          <w:p w14:paraId="79559A1F" w14:textId="77777777" w:rsidR="00B556DE" w:rsidRPr="00171C2D" w:rsidRDefault="000D6BB0">
            <w:pPr>
              <w:spacing w:line="240" w:lineRule="auto"/>
              <w:jc w:val="center"/>
              <w:rPr>
                <w:rFonts w:ascii="Avenir" w:eastAsia="Avenir" w:hAnsi="Avenir" w:cs="Avenir"/>
                <w:sz w:val="16"/>
                <w:szCs w:val="16"/>
                <w:lang w:val="en-GB"/>
              </w:rPr>
            </w:pPr>
            <w:r w:rsidRPr="00171C2D">
              <w:rPr>
                <w:rFonts w:ascii="Avenir" w:eastAsia="Avenir" w:hAnsi="Avenir" w:cs="Avenir"/>
                <w:sz w:val="16"/>
                <w:szCs w:val="16"/>
                <w:lang w:val="en-GB"/>
              </w:rPr>
              <w:t>Facebook</w:t>
            </w:r>
          </w:p>
        </w:tc>
        <w:tc>
          <w:tcPr>
            <w:tcW w:w="1048" w:type="dxa"/>
            <w:tcBorders>
              <w:bottom w:val="single" w:sz="8" w:space="0" w:color="000000"/>
              <w:right w:val="single" w:sz="8" w:space="0" w:color="000000"/>
            </w:tcBorders>
            <w:shd w:val="clear" w:color="auto" w:fill="auto"/>
            <w:vAlign w:val="bottom"/>
          </w:tcPr>
          <w:p w14:paraId="64068A6D" w14:textId="401E2D2A"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1,014,277</w:t>
            </w:r>
          </w:p>
        </w:tc>
        <w:tc>
          <w:tcPr>
            <w:tcW w:w="942" w:type="dxa"/>
            <w:tcBorders>
              <w:bottom w:val="single" w:sz="8" w:space="0" w:color="000000"/>
              <w:right w:val="single" w:sz="8" w:space="0" w:color="000000"/>
            </w:tcBorders>
            <w:shd w:val="clear" w:color="auto" w:fill="4472C4"/>
            <w:vAlign w:val="bottom"/>
          </w:tcPr>
          <w:p w14:paraId="69F9587A" w14:textId="77777777" w:rsidR="00B556DE" w:rsidRPr="00171C2D" w:rsidRDefault="000D6BB0">
            <w:pPr>
              <w:spacing w:line="240" w:lineRule="auto"/>
              <w:jc w:val="center"/>
              <w:rPr>
                <w:rFonts w:ascii="Avenir" w:eastAsia="Avenir" w:hAnsi="Avenir" w:cs="Avenir"/>
                <w:sz w:val="16"/>
                <w:szCs w:val="16"/>
                <w:lang w:val="en-GB"/>
              </w:rPr>
            </w:pPr>
            <w:r w:rsidRPr="00171C2D">
              <w:rPr>
                <w:rFonts w:ascii="Avenir" w:eastAsia="Avenir" w:hAnsi="Avenir" w:cs="Avenir"/>
                <w:sz w:val="16"/>
                <w:szCs w:val="16"/>
                <w:lang w:val="en-GB"/>
              </w:rPr>
              <w:t>Experian</w:t>
            </w:r>
          </w:p>
        </w:tc>
        <w:tc>
          <w:tcPr>
            <w:tcW w:w="1048" w:type="dxa"/>
            <w:tcBorders>
              <w:bottom w:val="single" w:sz="8" w:space="0" w:color="000000"/>
              <w:right w:val="single" w:sz="8" w:space="0" w:color="000000"/>
            </w:tcBorders>
            <w:shd w:val="clear" w:color="auto" w:fill="auto"/>
            <w:vAlign w:val="bottom"/>
          </w:tcPr>
          <w:p w14:paraId="1DC43B35" w14:textId="7AE33173"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1,087,076</w:t>
            </w:r>
          </w:p>
        </w:tc>
        <w:tc>
          <w:tcPr>
            <w:tcW w:w="1194" w:type="dxa"/>
            <w:tcBorders>
              <w:bottom w:val="single" w:sz="8" w:space="0" w:color="000000"/>
              <w:right w:val="single" w:sz="8" w:space="0" w:color="000000"/>
            </w:tcBorders>
            <w:shd w:val="clear" w:color="auto" w:fill="4472C4"/>
            <w:vAlign w:val="bottom"/>
          </w:tcPr>
          <w:p w14:paraId="0C200F8A" w14:textId="77777777" w:rsidR="00B556DE" w:rsidRPr="00171C2D" w:rsidRDefault="000D6BB0">
            <w:pPr>
              <w:spacing w:line="240" w:lineRule="auto"/>
              <w:jc w:val="center"/>
              <w:rPr>
                <w:rFonts w:ascii="Avenir" w:eastAsia="Avenir" w:hAnsi="Avenir" w:cs="Avenir"/>
                <w:sz w:val="16"/>
                <w:szCs w:val="16"/>
                <w:lang w:val="en-GB"/>
              </w:rPr>
            </w:pPr>
            <w:r w:rsidRPr="00171C2D">
              <w:rPr>
                <w:rFonts w:ascii="Avenir" w:eastAsia="Avenir" w:hAnsi="Avenir" w:cs="Avenir"/>
                <w:sz w:val="16"/>
                <w:szCs w:val="16"/>
                <w:lang w:val="en-GB"/>
              </w:rPr>
              <w:t>Facebook</w:t>
            </w:r>
          </w:p>
        </w:tc>
        <w:tc>
          <w:tcPr>
            <w:tcW w:w="1048" w:type="dxa"/>
            <w:tcBorders>
              <w:bottom w:val="single" w:sz="8" w:space="0" w:color="000000"/>
              <w:right w:val="single" w:sz="8" w:space="0" w:color="000000"/>
            </w:tcBorders>
            <w:shd w:val="clear" w:color="auto" w:fill="auto"/>
            <w:vAlign w:val="bottom"/>
          </w:tcPr>
          <w:p w14:paraId="4500C5D9" w14:textId="361A128D"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1,317,155</w:t>
            </w:r>
          </w:p>
        </w:tc>
        <w:tc>
          <w:tcPr>
            <w:tcW w:w="797" w:type="dxa"/>
            <w:tcBorders>
              <w:bottom w:val="single" w:sz="8" w:space="0" w:color="000000"/>
              <w:right w:val="single" w:sz="8" w:space="0" w:color="000000"/>
            </w:tcBorders>
            <w:shd w:val="clear" w:color="auto" w:fill="auto"/>
            <w:vAlign w:val="bottom"/>
          </w:tcPr>
          <w:p w14:paraId="49B2EFD2" w14:textId="77777777" w:rsidR="00B556DE" w:rsidRPr="00171C2D" w:rsidRDefault="000D6BB0">
            <w:pPr>
              <w:spacing w:line="240" w:lineRule="auto"/>
              <w:jc w:val="center"/>
              <w:rPr>
                <w:rFonts w:ascii="Avenir" w:eastAsia="Avenir" w:hAnsi="Avenir" w:cs="Avenir"/>
                <w:sz w:val="16"/>
                <w:szCs w:val="16"/>
                <w:lang w:val="en-GB"/>
              </w:rPr>
            </w:pPr>
            <w:r w:rsidRPr="00171C2D">
              <w:rPr>
                <w:rFonts w:ascii="Avenir" w:eastAsia="Avenir" w:hAnsi="Avenir" w:cs="Avenir"/>
                <w:sz w:val="16"/>
                <w:szCs w:val="16"/>
                <w:lang w:val="en-GB"/>
              </w:rPr>
              <w:t>Brown Knight &amp; Truscott</w:t>
            </w:r>
          </w:p>
        </w:tc>
        <w:tc>
          <w:tcPr>
            <w:tcW w:w="838" w:type="dxa"/>
            <w:tcBorders>
              <w:bottom w:val="single" w:sz="8" w:space="0" w:color="000000"/>
              <w:right w:val="single" w:sz="8" w:space="0" w:color="000000"/>
            </w:tcBorders>
            <w:shd w:val="clear" w:color="auto" w:fill="auto"/>
            <w:vAlign w:val="bottom"/>
          </w:tcPr>
          <w:p w14:paraId="70A72AE5" w14:textId="2AC478F8"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19,320</w:t>
            </w:r>
          </w:p>
        </w:tc>
        <w:tc>
          <w:tcPr>
            <w:tcW w:w="1118" w:type="dxa"/>
            <w:tcBorders>
              <w:bottom w:val="single" w:sz="8" w:space="0" w:color="000000"/>
              <w:right w:val="single" w:sz="8" w:space="0" w:color="000000"/>
            </w:tcBorders>
            <w:shd w:val="clear" w:color="auto" w:fill="auto"/>
            <w:vAlign w:val="bottom"/>
          </w:tcPr>
          <w:p w14:paraId="58258AB3" w14:textId="77777777" w:rsidR="00B556DE" w:rsidRPr="00171C2D" w:rsidRDefault="000D6BB0">
            <w:pPr>
              <w:spacing w:line="240" w:lineRule="auto"/>
              <w:jc w:val="center"/>
              <w:rPr>
                <w:rFonts w:ascii="Avenir" w:eastAsia="Avenir" w:hAnsi="Avenir" w:cs="Avenir"/>
                <w:sz w:val="16"/>
                <w:szCs w:val="16"/>
                <w:lang w:val="en-GB"/>
              </w:rPr>
            </w:pPr>
            <w:r w:rsidRPr="00171C2D">
              <w:rPr>
                <w:rFonts w:ascii="Avenir" w:eastAsia="Avenir" w:hAnsi="Avenir" w:cs="Avenir"/>
                <w:sz w:val="16"/>
                <w:szCs w:val="16"/>
                <w:lang w:val="en-GB"/>
              </w:rPr>
              <w:t>MSI MEDIA LIMITED</w:t>
            </w:r>
          </w:p>
        </w:tc>
        <w:tc>
          <w:tcPr>
            <w:tcW w:w="927" w:type="dxa"/>
            <w:tcBorders>
              <w:bottom w:val="single" w:sz="8" w:space="0" w:color="000000"/>
              <w:right w:val="single" w:sz="8" w:space="0" w:color="000000"/>
            </w:tcBorders>
            <w:shd w:val="clear" w:color="auto" w:fill="auto"/>
            <w:vAlign w:val="bottom"/>
          </w:tcPr>
          <w:p w14:paraId="3346EA71" w14:textId="0C77ED40"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333,525</w:t>
            </w:r>
          </w:p>
        </w:tc>
        <w:tc>
          <w:tcPr>
            <w:tcW w:w="206" w:type="dxa"/>
            <w:tcMar>
              <w:top w:w="100" w:type="dxa"/>
              <w:left w:w="100" w:type="dxa"/>
              <w:right w:w="100" w:type="dxa"/>
            </w:tcMar>
          </w:tcPr>
          <w:p w14:paraId="429CBCBB" w14:textId="77777777" w:rsidR="00B556DE" w:rsidRPr="00171C2D" w:rsidRDefault="00B556DE"/>
        </w:tc>
      </w:tr>
      <w:tr w:rsidR="00171C2D" w:rsidRPr="00171C2D" w14:paraId="2E0ACAFE" w14:textId="77777777" w:rsidTr="006E5855">
        <w:trPr>
          <w:trHeight w:val="675"/>
        </w:trPr>
        <w:tc>
          <w:tcPr>
            <w:tcW w:w="218" w:type="dxa"/>
            <w:tcBorders>
              <w:left w:val="single" w:sz="8" w:space="0" w:color="000000"/>
              <w:bottom w:val="single" w:sz="8" w:space="0" w:color="000000"/>
              <w:right w:val="single" w:sz="8" w:space="0" w:color="000000"/>
            </w:tcBorders>
            <w:shd w:val="clear" w:color="auto" w:fill="auto"/>
            <w:vAlign w:val="bottom"/>
          </w:tcPr>
          <w:p w14:paraId="4EDA008E" w14:textId="77777777" w:rsidR="00B556DE" w:rsidRPr="00171C2D" w:rsidRDefault="000D6BB0">
            <w:pPr>
              <w:spacing w:line="240" w:lineRule="auto"/>
              <w:jc w:val="center"/>
              <w:rPr>
                <w:rFonts w:ascii="Avenir" w:eastAsia="Avenir" w:hAnsi="Avenir" w:cs="Avenir"/>
                <w:sz w:val="16"/>
                <w:szCs w:val="16"/>
                <w:lang w:val="en-GB"/>
              </w:rPr>
            </w:pPr>
            <w:r w:rsidRPr="00171C2D">
              <w:rPr>
                <w:rFonts w:ascii="Avenir" w:eastAsia="Avenir" w:hAnsi="Avenir" w:cs="Avenir"/>
                <w:sz w:val="16"/>
                <w:szCs w:val="16"/>
                <w:lang w:val="en-GB"/>
              </w:rPr>
              <w:t>5</w:t>
            </w:r>
          </w:p>
        </w:tc>
        <w:tc>
          <w:tcPr>
            <w:tcW w:w="1194" w:type="dxa"/>
            <w:tcBorders>
              <w:bottom w:val="single" w:sz="8" w:space="0" w:color="000000"/>
              <w:right w:val="single" w:sz="8" w:space="0" w:color="000000"/>
            </w:tcBorders>
            <w:shd w:val="clear" w:color="auto" w:fill="4472C4"/>
            <w:vAlign w:val="bottom"/>
          </w:tcPr>
          <w:p w14:paraId="1C541BBC" w14:textId="77777777" w:rsidR="00B556DE" w:rsidRPr="00171C2D" w:rsidRDefault="000D6BB0">
            <w:pPr>
              <w:spacing w:line="240" w:lineRule="auto"/>
              <w:jc w:val="center"/>
              <w:rPr>
                <w:rFonts w:ascii="Avenir" w:eastAsia="Avenir" w:hAnsi="Avenir" w:cs="Avenir"/>
                <w:sz w:val="16"/>
                <w:szCs w:val="16"/>
                <w:lang w:val="en-GB"/>
              </w:rPr>
            </w:pPr>
            <w:r w:rsidRPr="00171C2D">
              <w:rPr>
                <w:rFonts w:ascii="Avenir" w:eastAsia="Avenir" w:hAnsi="Avenir" w:cs="Avenir"/>
                <w:sz w:val="16"/>
                <w:szCs w:val="16"/>
                <w:lang w:val="en-GB"/>
              </w:rPr>
              <w:t>Google Ireland Ltd</w:t>
            </w:r>
          </w:p>
        </w:tc>
        <w:tc>
          <w:tcPr>
            <w:tcW w:w="1048" w:type="dxa"/>
            <w:tcBorders>
              <w:bottom w:val="single" w:sz="8" w:space="0" w:color="000000"/>
              <w:right w:val="single" w:sz="8" w:space="0" w:color="000000"/>
            </w:tcBorders>
            <w:shd w:val="clear" w:color="auto" w:fill="auto"/>
            <w:vAlign w:val="bottom"/>
          </w:tcPr>
          <w:p w14:paraId="61B8AE19" w14:textId="662C4197"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879,091</w:t>
            </w:r>
          </w:p>
        </w:tc>
        <w:tc>
          <w:tcPr>
            <w:tcW w:w="942" w:type="dxa"/>
            <w:tcBorders>
              <w:bottom w:val="single" w:sz="8" w:space="0" w:color="000000"/>
              <w:right w:val="single" w:sz="8" w:space="0" w:color="000000"/>
            </w:tcBorders>
            <w:shd w:val="clear" w:color="auto" w:fill="4472C4"/>
            <w:vAlign w:val="bottom"/>
          </w:tcPr>
          <w:p w14:paraId="04FBD4C5" w14:textId="77777777" w:rsidR="00B556DE" w:rsidRPr="00171C2D" w:rsidRDefault="000D6BB0">
            <w:pPr>
              <w:spacing w:line="240" w:lineRule="auto"/>
              <w:jc w:val="center"/>
              <w:rPr>
                <w:rFonts w:ascii="Avenir" w:eastAsia="Avenir" w:hAnsi="Avenir" w:cs="Avenir"/>
                <w:sz w:val="16"/>
                <w:szCs w:val="16"/>
                <w:lang w:val="en-GB"/>
              </w:rPr>
            </w:pPr>
            <w:r w:rsidRPr="00171C2D">
              <w:rPr>
                <w:rFonts w:ascii="Avenir" w:eastAsia="Avenir" w:hAnsi="Avenir" w:cs="Avenir"/>
                <w:sz w:val="16"/>
                <w:szCs w:val="16"/>
                <w:lang w:val="en-GB"/>
              </w:rPr>
              <w:t>Google Ireland Ltd</w:t>
            </w:r>
          </w:p>
        </w:tc>
        <w:tc>
          <w:tcPr>
            <w:tcW w:w="1048" w:type="dxa"/>
            <w:tcBorders>
              <w:bottom w:val="single" w:sz="8" w:space="0" w:color="000000"/>
              <w:right w:val="single" w:sz="8" w:space="0" w:color="000000"/>
            </w:tcBorders>
            <w:shd w:val="clear" w:color="auto" w:fill="auto"/>
            <w:vAlign w:val="bottom"/>
          </w:tcPr>
          <w:p w14:paraId="4C1E3B52" w14:textId="1F27D63C"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754,618</w:t>
            </w:r>
          </w:p>
        </w:tc>
        <w:tc>
          <w:tcPr>
            <w:tcW w:w="1194" w:type="dxa"/>
            <w:tcBorders>
              <w:bottom w:val="single" w:sz="8" w:space="0" w:color="000000"/>
              <w:right w:val="single" w:sz="8" w:space="0" w:color="000000"/>
            </w:tcBorders>
            <w:shd w:val="clear" w:color="auto" w:fill="auto"/>
            <w:vAlign w:val="bottom"/>
          </w:tcPr>
          <w:p w14:paraId="3ED683A5" w14:textId="77777777" w:rsidR="00B556DE" w:rsidRPr="00171C2D" w:rsidRDefault="000D6BB0">
            <w:pPr>
              <w:spacing w:line="240" w:lineRule="auto"/>
              <w:jc w:val="center"/>
              <w:rPr>
                <w:rFonts w:ascii="Avenir" w:eastAsia="Avenir" w:hAnsi="Avenir" w:cs="Avenir"/>
                <w:sz w:val="16"/>
                <w:szCs w:val="16"/>
                <w:lang w:val="en-GB"/>
              </w:rPr>
            </w:pPr>
            <w:r w:rsidRPr="00171C2D">
              <w:rPr>
                <w:rFonts w:ascii="Avenir" w:eastAsia="Avenir" w:hAnsi="Avenir" w:cs="Avenir"/>
                <w:sz w:val="16"/>
                <w:szCs w:val="16"/>
                <w:lang w:val="en-GB"/>
              </w:rPr>
              <w:t>MBM Print SCS Ltd</w:t>
            </w:r>
          </w:p>
        </w:tc>
        <w:tc>
          <w:tcPr>
            <w:tcW w:w="1048" w:type="dxa"/>
            <w:tcBorders>
              <w:bottom w:val="single" w:sz="8" w:space="0" w:color="000000"/>
              <w:right w:val="single" w:sz="8" w:space="0" w:color="000000"/>
            </w:tcBorders>
            <w:shd w:val="clear" w:color="auto" w:fill="auto"/>
            <w:vAlign w:val="bottom"/>
          </w:tcPr>
          <w:p w14:paraId="46851606" w14:textId="35DF46F2"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667,260</w:t>
            </w:r>
          </w:p>
        </w:tc>
        <w:tc>
          <w:tcPr>
            <w:tcW w:w="797" w:type="dxa"/>
            <w:tcBorders>
              <w:bottom w:val="single" w:sz="8" w:space="0" w:color="000000"/>
              <w:right w:val="single" w:sz="8" w:space="0" w:color="000000"/>
            </w:tcBorders>
            <w:shd w:val="clear" w:color="auto" w:fill="4472C4"/>
            <w:vAlign w:val="bottom"/>
          </w:tcPr>
          <w:p w14:paraId="7AAAD026" w14:textId="77777777" w:rsidR="00B556DE" w:rsidRPr="00171C2D" w:rsidRDefault="000D6BB0">
            <w:pPr>
              <w:spacing w:line="240" w:lineRule="auto"/>
              <w:jc w:val="center"/>
              <w:rPr>
                <w:rFonts w:ascii="Avenir" w:eastAsia="Avenir" w:hAnsi="Avenir" w:cs="Avenir"/>
                <w:sz w:val="16"/>
                <w:szCs w:val="16"/>
                <w:lang w:val="en-GB"/>
              </w:rPr>
            </w:pPr>
            <w:r w:rsidRPr="00171C2D">
              <w:rPr>
                <w:rFonts w:ascii="Avenir" w:eastAsia="Avenir" w:hAnsi="Avenir" w:cs="Avenir"/>
                <w:sz w:val="16"/>
                <w:szCs w:val="16"/>
                <w:lang w:val="en-GB"/>
              </w:rPr>
              <w:t>Leaflet Frog</w:t>
            </w:r>
          </w:p>
        </w:tc>
        <w:tc>
          <w:tcPr>
            <w:tcW w:w="838" w:type="dxa"/>
            <w:tcBorders>
              <w:bottom w:val="single" w:sz="8" w:space="0" w:color="000000"/>
              <w:right w:val="single" w:sz="8" w:space="0" w:color="000000"/>
            </w:tcBorders>
            <w:shd w:val="clear" w:color="auto" w:fill="auto"/>
            <w:vAlign w:val="bottom"/>
          </w:tcPr>
          <w:p w14:paraId="06003832" w14:textId="2003E28D"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17,745</w:t>
            </w:r>
          </w:p>
        </w:tc>
        <w:tc>
          <w:tcPr>
            <w:tcW w:w="1118" w:type="dxa"/>
            <w:tcBorders>
              <w:bottom w:val="single" w:sz="8" w:space="0" w:color="000000"/>
              <w:right w:val="single" w:sz="8" w:space="0" w:color="000000"/>
            </w:tcBorders>
            <w:shd w:val="clear" w:color="auto" w:fill="auto"/>
            <w:vAlign w:val="bottom"/>
          </w:tcPr>
          <w:p w14:paraId="51788957" w14:textId="77777777" w:rsidR="00B556DE" w:rsidRPr="00171C2D" w:rsidRDefault="000D6BB0">
            <w:pPr>
              <w:spacing w:line="240" w:lineRule="auto"/>
              <w:jc w:val="center"/>
              <w:rPr>
                <w:rFonts w:ascii="Avenir" w:eastAsia="Avenir" w:hAnsi="Avenir" w:cs="Avenir"/>
                <w:sz w:val="16"/>
                <w:szCs w:val="16"/>
                <w:lang w:val="en-GB"/>
              </w:rPr>
            </w:pPr>
            <w:r w:rsidRPr="00171C2D">
              <w:rPr>
                <w:rFonts w:ascii="Avenir" w:eastAsia="Avenir" w:hAnsi="Avenir" w:cs="Avenir"/>
                <w:sz w:val="16"/>
                <w:szCs w:val="16"/>
                <w:lang w:val="en-GB"/>
              </w:rPr>
              <w:t>DG3 Group Holdings Ltd</w:t>
            </w:r>
          </w:p>
        </w:tc>
        <w:tc>
          <w:tcPr>
            <w:tcW w:w="927" w:type="dxa"/>
            <w:tcBorders>
              <w:bottom w:val="single" w:sz="8" w:space="0" w:color="000000"/>
              <w:right w:val="single" w:sz="8" w:space="0" w:color="000000"/>
            </w:tcBorders>
            <w:shd w:val="clear" w:color="auto" w:fill="auto"/>
            <w:vAlign w:val="bottom"/>
          </w:tcPr>
          <w:p w14:paraId="1839AAC5" w14:textId="1CDB432A"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309,865</w:t>
            </w:r>
          </w:p>
        </w:tc>
        <w:tc>
          <w:tcPr>
            <w:tcW w:w="206" w:type="dxa"/>
            <w:tcMar>
              <w:top w:w="100" w:type="dxa"/>
              <w:left w:w="100" w:type="dxa"/>
              <w:right w:w="100" w:type="dxa"/>
            </w:tcMar>
          </w:tcPr>
          <w:p w14:paraId="77590B13" w14:textId="77777777" w:rsidR="00B556DE" w:rsidRPr="00171C2D" w:rsidRDefault="00B556DE"/>
        </w:tc>
      </w:tr>
      <w:tr w:rsidR="00171C2D" w:rsidRPr="00171C2D" w14:paraId="6E147986" w14:textId="77777777" w:rsidTr="006E5855">
        <w:trPr>
          <w:trHeight w:val="825"/>
        </w:trPr>
        <w:tc>
          <w:tcPr>
            <w:tcW w:w="218" w:type="dxa"/>
            <w:tcBorders>
              <w:left w:val="single" w:sz="8" w:space="0" w:color="000000"/>
              <w:bottom w:val="single" w:sz="8" w:space="0" w:color="000000"/>
              <w:right w:val="single" w:sz="8" w:space="0" w:color="000000"/>
            </w:tcBorders>
            <w:shd w:val="clear" w:color="auto" w:fill="auto"/>
            <w:vAlign w:val="bottom"/>
          </w:tcPr>
          <w:p w14:paraId="6F1A4C1C" w14:textId="77777777" w:rsidR="00B556DE" w:rsidRPr="00171C2D" w:rsidRDefault="000D6BB0">
            <w:pPr>
              <w:spacing w:line="240" w:lineRule="auto"/>
              <w:jc w:val="center"/>
              <w:rPr>
                <w:rFonts w:ascii="Avenir" w:eastAsia="Avenir" w:hAnsi="Avenir" w:cs="Avenir"/>
                <w:sz w:val="16"/>
                <w:szCs w:val="16"/>
                <w:lang w:val="en-GB"/>
              </w:rPr>
            </w:pPr>
            <w:r w:rsidRPr="00171C2D">
              <w:rPr>
                <w:rFonts w:ascii="Avenir" w:eastAsia="Avenir" w:hAnsi="Avenir" w:cs="Avenir"/>
                <w:sz w:val="16"/>
                <w:szCs w:val="16"/>
                <w:lang w:val="en-GB"/>
              </w:rPr>
              <w:t>6</w:t>
            </w:r>
          </w:p>
        </w:tc>
        <w:tc>
          <w:tcPr>
            <w:tcW w:w="1194" w:type="dxa"/>
            <w:tcBorders>
              <w:bottom w:val="single" w:sz="8" w:space="0" w:color="000000"/>
              <w:right w:val="single" w:sz="8" w:space="0" w:color="000000"/>
            </w:tcBorders>
            <w:shd w:val="clear" w:color="auto" w:fill="auto"/>
            <w:vAlign w:val="bottom"/>
          </w:tcPr>
          <w:p w14:paraId="5EE6C635" w14:textId="77777777" w:rsidR="00B556DE" w:rsidRPr="00171C2D" w:rsidRDefault="000D6BB0">
            <w:pPr>
              <w:spacing w:line="240" w:lineRule="auto"/>
              <w:jc w:val="center"/>
              <w:rPr>
                <w:rFonts w:ascii="Avenir" w:eastAsia="Avenir" w:hAnsi="Avenir" w:cs="Avenir"/>
                <w:sz w:val="16"/>
                <w:szCs w:val="16"/>
                <w:lang w:val="en-GB"/>
              </w:rPr>
            </w:pPr>
            <w:r w:rsidRPr="00171C2D">
              <w:rPr>
                <w:rFonts w:ascii="Avenir" w:eastAsia="Avenir" w:hAnsi="Avenir" w:cs="Avenir"/>
                <w:sz w:val="16"/>
                <w:szCs w:val="16"/>
                <w:lang w:val="en-GB"/>
              </w:rPr>
              <w:t>Hanbury</w:t>
            </w:r>
          </w:p>
        </w:tc>
        <w:tc>
          <w:tcPr>
            <w:tcW w:w="1048" w:type="dxa"/>
            <w:tcBorders>
              <w:bottom w:val="single" w:sz="8" w:space="0" w:color="000000"/>
              <w:right w:val="single" w:sz="8" w:space="0" w:color="000000"/>
            </w:tcBorders>
            <w:shd w:val="clear" w:color="auto" w:fill="auto"/>
            <w:vAlign w:val="bottom"/>
          </w:tcPr>
          <w:p w14:paraId="564EB8CB" w14:textId="4AE5C200"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708,000</w:t>
            </w:r>
          </w:p>
        </w:tc>
        <w:tc>
          <w:tcPr>
            <w:tcW w:w="942" w:type="dxa"/>
            <w:tcBorders>
              <w:bottom w:val="single" w:sz="8" w:space="0" w:color="000000"/>
              <w:right w:val="single" w:sz="8" w:space="0" w:color="000000"/>
            </w:tcBorders>
            <w:shd w:val="clear" w:color="auto" w:fill="auto"/>
            <w:vAlign w:val="bottom"/>
          </w:tcPr>
          <w:p w14:paraId="25141FE9" w14:textId="77777777" w:rsidR="00B556DE" w:rsidRPr="00171C2D" w:rsidRDefault="000D6BB0">
            <w:pPr>
              <w:spacing w:line="240" w:lineRule="auto"/>
              <w:jc w:val="center"/>
              <w:rPr>
                <w:rFonts w:ascii="Avenir" w:eastAsia="Avenir" w:hAnsi="Avenir" w:cs="Avenir"/>
                <w:sz w:val="16"/>
                <w:szCs w:val="16"/>
                <w:lang w:val="en-GB"/>
              </w:rPr>
            </w:pPr>
            <w:proofErr w:type="spellStart"/>
            <w:r w:rsidRPr="00171C2D">
              <w:rPr>
                <w:rFonts w:ascii="Avenir" w:eastAsia="Avenir" w:hAnsi="Avenir" w:cs="Avenir"/>
                <w:sz w:val="16"/>
                <w:szCs w:val="16"/>
                <w:lang w:val="en-GB"/>
              </w:rPr>
              <w:t>DSPolitical</w:t>
            </w:r>
            <w:proofErr w:type="spellEnd"/>
            <w:r w:rsidRPr="00171C2D">
              <w:rPr>
                <w:rFonts w:ascii="Avenir" w:eastAsia="Avenir" w:hAnsi="Avenir" w:cs="Avenir"/>
                <w:sz w:val="16"/>
                <w:szCs w:val="16"/>
                <w:lang w:val="en-GB"/>
              </w:rPr>
              <w:t xml:space="preserve"> International</w:t>
            </w:r>
          </w:p>
        </w:tc>
        <w:tc>
          <w:tcPr>
            <w:tcW w:w="1048" w:type="dxa"/>
            <w:tcBorders>
              <w:bottom w:val="single" w:sz="8" w:space="0" w:color="000000"/>
              <w:right w:val="single" w:sz="8" w:space="0" w:color="000000"/>
            </w:tcBorders>
            <w:shd w:val="clear" w:color="auto" w:fill="auto"/>
            <w:vAlign w:val="bottom"/>
          </w:tcPr>
          <w:p w14:paraId="1018F128" w14:textId="033FF5B2"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575,000</w:t>
            </w:r>
          </w:p>
        </w:tc>
        <w:tc>
          <w:tcPr>
            <w:tcW w:w="1194" w:type="dxa"/>
            <w:tcBorders>
              <w:bottom w:val="single" w:sz="8" w:space="0" w:color="000000"/>
              <w:right w:val="single" w:sz="8" w:space="0" w:color="000000"/>
            </w:tcBorders>
            <w:shd w:val="clear" w:color="auto" w:fill="auto"/>
            <w:vAlign w:val="bottom"/>
          </w:tcPr>
          <w:p w14:paraId="27E85842" w14:textId="77777777" w:rsidR="00B556DE" w:rsidRPr="00171C2D" w:rsidRDefault="000D6BB0">
            <w:pPr>
              <w:spacing w:line="240" w:lineRule="auto"/>
              <w:jc w:val="center"/>
              <w:rPr>
                <w:rFonts w:ascii="Avenir" w:eastAsia="Avenir" w:hAnsi="Avenir" w:cs="Avenir"/>
                <w:sz w:val="16"/>
                <w:szCs w:val="16"/>
                <w:lang w:val="en-GB"/>
              </w:rPr>
            </w:pPr>
            <w:r w:rsidRPr="00171C2D">
              <w:rPr>
                <w:rFonts w:ascii="Avenir" w:eastAsia="Avenir" w:hAnsi="Avenir" w:cs="Avenir"/>
                <w:sz w:val="16"/>
                <w:szCs w:val="16"/>
                <w:lang w:val="en-GB"/>
              </w:rPr>
              <w:t>Park Communications Ltd</w:t>
            </w:r>
          </w:p>
        </w:tc>
        <w:tc>
          <w:tcPr>
            <w:tcW w:w="1048" w:type="dxa"/>
            <w:tcBorders>
              <w:bottom w:val="single" w:sz="8" w:space="0" w:color="000000"/>
              <w:right w:val="single" w:sz="8" w:space="0" w:color="000000"/>
            </w:tcBorders>
            <w:shd w:val="clear" w:color="auto" w:fill="auto"/>
            <w:vAlign w:val="bottom"/>
          </w:tcPr>
          <w:p w14:paraId="178EB5D2" w14:textId="611FEF18"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545,837</w:t>
            </w:r>
          </w:p>
        </w:tc>
        <w:tc>
          <w:tcPr>
            <w:tcW w:w="797" w:type="dxa"/>
            <w:tcBorders>
              <w:bottom w:val="single" w:sz="8" w:space="0" w:color="000000"/>
              <w:right w:val="single" w:sz="8" w:space="0" w:color="000000"/>
            </w:tcBorders>
            <w:shd w:val="clear" w:color="auto" w:fill="auto"/>
            <w:vAlign w:val="bottom"/>
          </w:tcPr>
          <w:p w14:paraId="58E1E499" w14:textId="77777777" w:rsidR="00B556DE" w:rsidRPr="00171C2D" w:rsidRDefault="000D6BB0">
            <w:pPr>
              <w:spacing w:line="240" w:lineRule="auto"/>
              <w:jc w:val="center"/>
              <w:rPr>
                <w:rFonts w:ascii="Avenir" w:eastAsia="Avenir" w:hAnsi="Avenir" w:cs="Avenir"/>
                <w:sz w:val="16"/>
                <w:szCs w:val="16"/>
                <w:lang w:val="en-GB"/>
              </w:rPr>
            </w:pPr>
            <w:r w:rsidRPr="00171C2D">
              <w:rPr>
                <w:rFonts w:ascii="Avenir" w:eastAsia="Avenir" w:hAnsi="Avenir" w:cs="Avenir"/>
                <w:sz w:val="16"/>
                <w:szCs w:val="16"/>
                <w:lang w:val="en-GB"/>
              </w:rPr>
              <w:t>Lisbon</w:t>
            </w:r>
          </w:p>
        </w:tc>
        <w:tc>
          <w:tcPr>
            <w:tcW w:w="838" w:type="dxa"/>
            <w:tcBorders>
              <w:bottom w:val="single" w:sz="8" w:space="0" w:color="000000"/>
              <w:right w:val="single" w:sz="8" w:space="0" w:color="000000"/>
            </w:tcBorders>
            <w:shd w:val="clear" w:color="auto" w:fill="auto"/>
            <w:vAlign w:val="bottom"/>
          </w:tcPr>
          <w:p w14:paraId="6D0B9AF8" w14:textId="0BB200E7"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12,239</w:t>
            </w:r>
          </w:p>
        </w:tc>
        <w:tc>
          <w:tcPr>
            <w:tcW w:w="1118" w:type="dxa"/>
            <w:tcBorders>
              <w:bottom w:val="single" w:sz="8" w:space="0" w:color="000000"/>
              <w:right w:val="single" w:sz="8" w:space="0" w:color="000000"/>
            </w:tcBorders>
            <w:shd w:val="clear" w:color="auto" w:fill="auto"/>
            <w:vAlign w:val="bottom"/>
          </w:tcPr>
          <w:p w14:paraId="714510AE" w14:textId="77777777" w:rsidR="00B556DE" w:rsidRPr="00171C2D" w:rsidRDefault="000D6BB0">
            <w:pPr>
              <w:spacing w:line="240" w:lineRule="auto"/>
              <w:jc w:val="center"/>
              <w:rPr>
                <w:rFonts w:ascii="Avenir" w:eastAsia="Avenir" w:hAnsi="Avenir" w:cs="Avenir"/>
                <w:sz w:val="16"/>
                <w:szCs w:val="16"/>
                <w:lang w:val="en-GB"/>
              </w:rPr>
            </w:pPr>
            <w:r w:rsidRPr="00171C2D">
              <w:rPr>
                <w:rFonts w:ascii="Avenir" w:eastAsia="Avenir" w:hAnsi="Avenir" w:cs="Avenir"/>
                <w:sz w:val="16"/>
                <w:szCs w:val="16"/>
                <w:lang w:val="en-GB"/>
              </w:rPr>
              <w:t>Cedar Press Ltd</w:t>
            </w:r>
          </w:p>
        </w:tc>
        <w:tc>
          <w:tcPr>
            <w:tcW w:w="927" w:type="dxa"/>
            <w:tcBorders>
              <w:bottom w:val="single" w:sz="8" w:space="0" w:color="000000"/>
              <w:right w:val="single" w:sz="8" w:space="0" w:color="000000"/>
            </w:tcBorders>
            <w:shd w:val="clear" w:color="auto" w:fill="auto"/>
            <w:vAlign w:val="bottom"/>
          </w:tcPr>
          <w:p w14:paraId="019DD555" w14:textId="1C16EA37"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238,286</w:t>
            </w:r>
          </w:p>
        </w:tc>
        <w:tc>
          <w:tcPr>
            <w:tcW w:w="206" w:type="dxa"/>
            <w:tcMar>
              <w:top w:w="100" w:type="dxa"/>
              <w:left w:w="100" w:type="dxa"/>
              <w:right w:w="100" w:type="dxa"/>
            </w:tcMar>
          </w:tcPr>
          <w:p w14:paraId="1F0DC392" w14:textId="77777777" w:rsidR="00B556DE" w:rsidRPr="00171C2D" w:rsidRDefault="00B556DE"/>
        </w:tc>
      </w:tr>
      <w:tr w:rsidR="00171C2D" w:rsidRPr="00171C2D" w14:paraId="0C1F9621" w14:textId="77777777" w:rsidTr="006E5855">
        <w:trPr>
          <w:trHeight w:val="660"/>
        </w:trPr>
        <w:tc>
          <w:tcPr>
            <w:tcW w:w="218" w:type="dxa"/>
            <w:tcBorders>
              <w:left w:val="single" w:sz="8" w:space="0" w:color="000000"/>
              <w:bottom w:val="single" w:sz="8" w:space="0" w:color="000000"/>
              <w:right w:val="single" w:sz="8" w:space="0" w:color="000000"/>
            </w:tcBorders>
            <w:shd w:val="clear" w:color="auto" w:fill="auto"/>
            <w:vAlign w:val="bottom"/>
          </w:tcPr>
          <w:p w14:paraId="22870BF2" w14:textId="77777777" w:rsidR="00B556DE" w:rsidRPr="00171C2D" w:rsidRDefault="000D6BB0">
            <w:pPr>
              <w:spacing w:line="240" w:lineRule="auto"/>
              <w:jc w:val="center"/>
              <w:rPr>
                <w:rFonts w:ascii="Avenir" w:eastAsia="Avenir" w:hAnsi="Avenir" w:cs="Avenir"/>
                <w:sz w:val="16"/>
                <w:szCs w:val="16"/>
                <w:lang w:val="en-GB"/>
              </w:rPr>
            </w:pPr>
            <w:r w:rsidRPr="00171C2D">
              <w:rPr>
                <w:rFonts w:ascii="Avenir" w:eastAsia="Avenir" w:hAnsi="Avenir" w:cs="Avenir"/>
                <w:sz w:val="16"/>
                <w:szCs w:val="16"/>
                <w:lang w:val="en-GB"/>
              </w:rPr>
              <w:t>7</w:t>
            </w:r>
          </w:p>
        </w:tc>
        <w:tc>
          <w:tcPr>
            <w:tcW w:w="1194" w:type="dxa"/>
            <w:tcBorders>
              <w:bottom w:val="single" w:sz="8" w:space="0" w:color="000000"/>
              <w:right w:val="single" w:sz="8" w:space="0" w:color="000000"/>
            </w:tcBorders>
            <w:shd w:val="clear" w:color="auto" w:fill="auto"/>
            <w:vAlign w:val="bottom"/>
          </w:tcPr>
          <w:p w14:paraId="31E20155" w14:textId="77777777" w:rsidR="00B556DE" w:rsidRPr="00171C2D" w:rsidRDefault="000D6BB0">
            <w:pPr>
              <w:spacing w:line="240" w:lineRule="auto"/>
              <w:jc w:val="center"/>
              <w:rPr>
                <w:rFonts w:ascii="Avenir" w:eastAsia="Avenir" w:hAnsi="Avenir" w:cs="Avenir"/>
                <w:sz w:val="16"/>
                <w:szCs w:val="16"/>
                <w:lang w:val="en-GB"/>
              </w:rPr>
            </w:pPr>
            <w:r w:rsidRPr="00171C2D">
              <w:rPr>
                <w:rFonts w:ascii="Avenir" w:eastAsia="Avenir" w:hAnsi="Avenir" w:cs="Avenir"/>
                <w:sz w:val="16"/>
                <w:szCs w:val="16"/>
                <w:lang w:val="en-GB"/>
              </w:rPr>
              <w:t>PM Solutions</w:t>
            </w:r>
          </w:p>
        </w:tc>
        <w:tc>
          <w:tcPr>
            <w:tcW w:w="1048" w:type="dxa"/>
            <w:tcBorders>
              <w:bottom w:val="single" w:sz="8" w:space="0" w:color="000000"/>
              <w:right w:val="single" w:sz="8" w:space="0" w:color="000000"/>
            </w:tcBorders>
            <w:shd w:val="clear" w:color="auto" w:fill="auto"/>
            <w:vAlign w:val="bottom"/>
          </w:tcPr>
          <w:p w14:paraId="4659D91E" w14:textId="209DCEDF"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535,670</w:t>
            </w:r>
          </w:p>
        </w:tc>
        <w:tc>
          <w:tcPr>
            <w:tcW w:w="942" w:type="dxa"/>
            <w:tcBorders>
              <w:bottom w:val="single" w:sz="8" w:space="0" w:color="000000"/>
              <w:right w:val="single" w:sz="8" w:space="0" w:color="000000"/>
            </w:tcBorders>
            <w:shd w:val="clear" w:color="auto" w:fill="auto"/>
            <w:vAlign w:val="bottom"/>
          </w:tcPr>
          <w:p w14:paraId="7FEB396C" w14:textId="77777777" w:rsidR="00B556DE" w:rsidRPr="00171C2D" w:rsidRDefault="000D6BB0">
            <w:pPr>
              <w:spacing w:line="240" w:lineRule="auto"/>
              <w:jc w:val="center"/>
              <w:rPr>
                <w:rFonts w:ascii="Avenir" w:eastAsia="Avenir" w:hAnsi="Avenir" w:cs="Avenir"/>
                <w:sz w:val="16"/>
                <w:szCs w:val="16"/>
                <w:lang w:val="en-GB"/>
              </w:rPr>
            </w:pPr>
            <w:proofErr w:type="spellStart"/>
            <w:r w:rsidRPr="00171C2D">
              <w:rPr>
                <w:rFonts w:ascii="Avenir" w:eastAsia="Avenir" w:hAnsi="Avenir" w:cs="Avenir"/>
                <w:sz w:val="16"/>
                <w:szCs w:val="16"/>
                <w:lang w:val="en-GB"/>
              </w:rPr>
              <w:t>tmwi</w:t>
            </w:r>
            <w:proofErr w:type="spellEnd"/>
            <w:r w:rsidRPr="00171C2D">
              <w:rPr>
                <w:rFonts w:ascii="Avenir" w:eastAsia="Avenir" w:hAnsi="Avenir" w:cs="Avenir"/>
                <w:sz w:val="16"/>
                <w:szCs w:val="16"/>
                <w:lang w:val="en-GB"/>
              </w:rPr>
              <w:t xml:space="preserve"> Limited</w:t>
            </w:r>
          </w:p>
        </w:tc>
        <w:tc>
          <w:tcPr>
            <w:tcW w:w="1048" w:type="dxa"/>
            <w:tcBorders>
              <w:bottom w:val="single" w:sz="8" w:space="0" w:color="000000"/>
              <w:right w:val="single" w:sz="8" w:space="0" w:color="000000"/>
            </w:tcBorders>
            <w:shd w:val="clear" w:color="auto" w:fill="auto"/>
            <w:vAlign w:val="bottom"/>
          </w:tcPr>
          <w:p w14:paraId="7E06E927" w14:textId="237943C3"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477,285</w:t>
            </w:r>
          </w:p>
        </w:tc>
        <w:tc>
          <w:tcPr>
            <w:tcW w:w="1194" w:type="dxa"/>
            <w:tcBorders>
              <w:bottom w:val="single" w:sz="8" w:space="0" w:color="000000"/>
              <w:right w:val="single" w:sz="8" w:space="0" w:color="000000"/>
            </w:tcBorders>
            <w:shd w:val="clear" w:color="auto" w:fill="auto"/>
            <w:vAlign w:val="bottom"/>
          </w:tcPr>
          <w:p w14:paraId="6A2B865C" w14:textId="77777777" w:rsidR="00B556DE" w:rsidRPr="00171C2D" w:rsidRDefault="000D6BB0">
            <w:pPr>
              <w:spacing w:line="240" w:lineRule="auto"/>
              <w:jc w:val="center"/>
              <w:rPr>
                <w:rFonts w:ascii="Avenir" w:eastAsia="Avenir" w:hAnsi="Avenir" w:cs="Avenir"/>
                <w:sz w:val="16"/>
                <w:szCs w:val="16"/>
                <w:lang w:val="en-GB"/>
              </w:rPr>
            </w:pPr>
            <w:r w:rsidRPr="00171C2D">
              <w:rPr>
                <w:rFonts w:ascii="Avenir" w:eastAsia="Avenir" w:hAnsi="Avenir" w:cs="Avenir"/>
                <w:sz w:val="16"/>
                <w:szCs w:val="16"/>
                <w:lang w:val="en-GB"/>
              </w:rPr>
              <w:t>Whittington Moor Printing Works Ltd</w:t>
            </w:r>
          </w:p>
        </w:tc>
        <w:tc>
          <w:tcPr>
            <w:tcW w:w="1048" w:type="dxa"/>
            <w:tcBorders>
              <w:bottom w:val="single" w:sz="8" w:space="0" w:color="000000"/>
              <w:right w:val="single" w:sz="8" w:space="0" w:color="000000"/>
            </w:tcBorders>
            <w:shd w:val="clear" w:color="auto" w:fill="auto"/>
            <w:vAlign w:val="bottom"/>
          </w:tcPr>
          <w:p w14:paraId="22CE67BE" w14:textId="1557EEEE"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466,309</w:t>
            </w:r>
          </w:p>
        </w:tc>
        <w:tc>
          <w:tcPr>
            <w:tcW w:w="797" w:type="dxa"/>
            <w:tcBorders>
              <w:bottom w:val="single" w:sz="8" w:space="0" w:color="000000"/>
              <w:right w:val="single" w:sz="8" w:space="0" w:color="000000"/>
            </w:tcBorders>
            <w:shd w:val="clear" w:color="auto" w:fill="auto"/>
            <w:vAlign w:val="bottom"/>
          </w:tcPr>
          <w:p w14:paraId="636EA236" w14:textId="77777777" w:rsidR="00B556DE" w:rsidRPr="00171C2D" w:rsidRDefault="000D6BB0">
            <w:pPr>
              <w:spacing w:line="240" w:lineRule="auto"/>
              <w:jc w:val="center"/>
              <w:rPr>
                <w:rFonts w:ascii="Avenir" w:eastAsia="Avenir" w:hAnsi="Avenir" w:cs="Avenir"/>
                <w:sz w:val="16"/>
                <w:szCs w:val="16"/>
                <w:lang w:val="fr-FR"/>
              </w:rPr>
            </w:pPr>
            <w:r w:rsidRPr="00171C2D">
              <w:rPr>
                <w:rFonts w:ascii="Avenir" w:eastAsia="Avenir" w:hAnsi="Avenir" w:cs="Avenir"/>
                <w:sz w:val="16"/>
                <w:szCs w:val="16"/>
                <w:lang w:val="fr-FR"/>
              </w:rPr>
              <w:t xml:space="preserve">AGA </w:t>
            </w:r>
            <w:proofErr w:type="spellStart"/>
            <w:r w:rsidRPr="00171C2D">
              <w:rPr>
                <w:rFonts w:ascii="Avenir" w:eastAsia="Avenir" w:hAnsi="Avenir" w:cs="Avenir"/>
                <w:sz w:val="16"/>
                <w:szCs w:val="16"/>
                <w:lang w:val="fr-FR"/>
              </w:rPr>
              <w:t>Print</w:t>
            </w:r>
            <w:proofErr w:type="spellEnd"/>
            <w:r w:rsidRPr="00171C2D">
              <w:rPr>
                <w:rFonts w:ascii="Avenir" w:eastAsia="Avenir" w:hAnsi="Avenir" w:cs="Avenir"/>
                <w:sz w:val="16"/>
                <w:szCs w:val="16"/>
                <w:lang w:val="fr-FR"/>
              </w:rPr>
              <w:t xml:space="preserve"> Ltd t/a </w:t>
            </w:r>
            <w:proofErr w:type="spellStart"/>
            <w:r w:rsidRPr="00171C2D">
              <w:rPr>
                <w:rFonts w:ascii="Avenir" w:eastAsia="Avenir" w:hAnsi="Avenir" w:cs="Avenir"/>
                <w:sz w:val="16"/>
                <w:szCs w:val="16"/>
                <w:lang w:val="fr-FR"/>
              </w:rPr>
              <w:t>Solopress</w:t>
            </w:r>
            <w:proofErr w:type="spellEnd"/>
          </w:p>
        </w:tc>
        <w:tc>
          <w:tcPr>
            <w:tcW w:w="838" w:type="dxa"/>
            <w:tcBorders>
              <w:bottom w:val="single" w:sz="8" w:space="0" w:color="000000"/>
              <w:right w:val="single" w:sz="8" w:space="0" w:color="000000"/>
            </w:tcBorders>
            <w:shd w:val="clear" w:color="auto" w:fill="auto"/>
            <w:vAlign w:val="bottom"/>
          </w:tcPr>
          <w:p w14:paraId="2651E8AE" w14:textId="6958E3F6"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8,028</w:t>
            </w:r>
          </w:p>
        </w:tc>
        <w:tc>
          <w:tcPr>
            <w:tcW w:w="1118" w:type="dxa"/>
            <w:tcBorders>
              <w:bottom w:val="single" w:sz="8" w:space="0" w:color="000000"/>
              <w:right w:val="single" w:sz="8" w:space="0" w:color="000000"/>
            </w:tcBorders>
            <w:shd w:val="clear" w:color="auto" w:fill="auto"/>
            <w:vAlign w:val="bottom"/>
          </w:tcPr>
          <w:p w14:paraId="2F5826BD" w14:textId="77777777" w:rsidR="00B556DE" w:rsidRPr="00171C2D" w:rsidRDefault="000D6BB0">
            <w:pPr>
              <w:spacing w:line="240" w:lineRule="auto"/>
              <w:jc w:val="center"/>
              <w:rPr>
                <w:rFonts w:ascii="Avenir" w:eastAsia="Avenir" w:hAnsi="Avenir" w:cs="Avenir"/>
                <w:sz w:val="16"/>
                <w:szCs w:val="16"/>
                <w:lang w:val="en-GB"/>
              </w:rPr>
            </w:pPr>
            <w:proofErr w:type="spellStart"/>
            <w:r w:rsidRPr="00171C2D">
              <w:rPr>
                <w:rFonts w:ascii="Avenir" w:eastAsia="Avenir" w:hAnsi="Avenir" w:cs="Avenir"/>
                <w:sz w:val="16"/>
                <w:szCs w:val="16"/>
                <w:lang w:val="en-GB"/>
              </w:rPr>
              <w:t>Triplep</w:t>
            </w:r>
            <w:proofErr w:type="spellEnd"/>
            <w:r w:rsidRPr="00171C2D">
              <w:rPr>
                <w:rFonts w:ascii="Avenir" w:eastAsia="Avenir" w:hAnsi="Avenir" w:cs="Avenir"/>
                <w:sz w:val="16"/>
                <w:szCs w:val="16"/>
                <w:lang w:val="en-GB"/>
              </w:rPr>
              <w:t xml:space="preserve"> Marketing Ltd</w:t>
            </w:r>
          </w:p>
        </w:tc>
        <w:tc>
          <w:tcPr>
            <w:tcW w:w="927" w:type="dxa"/>
            <w:tcBorders>
              <w:bottom w:val="single" w:sz="8" w:space="0" w:color="000000"/>
              <w:right w:val="single" w:sz="8" w:space="0" w:color="000000"/>
            </w:tcBorders>
            <w:shd w:val="clear" w:color="auto" w:fill="auto"/>
            <w:vAlign w:val="bottom"/>
          </w:tcPr>
          <w:p w14:paraId="63D2FE18" w14:textId="114AB1F2"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200,758</w:t>
            </w:r>
          </w:p>
        </w:tc>
        <w:tc>
          <w:tcPr>
            <w:tcW w:w="206" w:type="dxa"/>
            <w:tcMar>
              <w:top w:w="100" w:type="dxa"/>
              <w:left w:w="100" w:type="dxa"/>
              <w:right w:w="100" w:type="dxa"/>
            </w:tcMar>
          </w:tcPr>
          <w:p w14:paraId="306ACBF7" w14:textId="77777777" w:rsidR="00B556DE" w:rsidRPr="00171C2D" w:rsidRDefault="00B556DE"/>
        </w:tc>
      </w:tr>
      <w:tr w:rsidR="00171C2D" w:rsidRPr="00171C2D" w14:paraId="6B10AE8D" w14:textId="77777777" w:rsidTr="006E5855">
        <w:trPr>
          <w:trHeight w:val="615"/>
        </w:trPr>
        <w:tc>
          <w:tcPr>
            <w:tcW w:w="218" w:type="dxa"/>
            <w:tcBorders>
              <w:left w:val="single" w:sz="8" w:space="0" w:color="000000"/>
              <w:bottom w:val="single" w:sz="8" w:space="0" w:color="000000"/>
              <w:right w:val="single" w:sz="8" w:space="0" w:color="000000"/>
            </w:tcBorders>
            <w:shd w:val="clear" w:color="auto" w:fill="auto"/>
            <w:vAlign w:val="bottom"/>
          </w:tcPr>
          <w:p w14:paraId="32CF29D6" w14:textId="77777777" w:rsidR="00B556DE" w:rsidRPr="00171C2D" w:rsidRDefault="000D6BB0">
            <w:pPr>
              <w:spacing w:line="240" w:lineRule="auto"/>
              <w:jc w:val="center"/>
              <w:rPr>
                <w:rFonts w:ascii="Avenir" w:eastAsia="Avenir" w:hAnsi="Avenir" w:cs="Avenir"/>
                <w:sz w:val="16"/>
                <w:szCs w:val="16"/>
                <w:lang w:val="en-GB"/>
              </w:rPr>
            </w:pPr>
            <w:r w:rsidRPr="00171C2D">
              <w:rPr>
                <w:rFonts w:ascii="Avenir" w:eastAsia="Avenir" w:hAnsi="Avenir" w:cs="Avenir"/>
                <w:sz w:val="16"/>
                <w:szCs w:val="16"/>
                <w:lang w:val="en-GB"/>
              </w:rPr>
              <w:t>8</w:t>
            </w:r>
          </w:p>
        </w:tc>
        <w:tc>
          <w:tcPr>
            <w:tcW w:w="1194" w:type="dxa"/>
            <w:tcBorders>
              <w:bottom w:val="single" w:sz="8" w:space="0" w:color="000000"/>
              <w:right w:val="single" w:sz="8" w:space="0" w:color="000000"/>
            </w:tcBorders>
            <w:shd w:val="clear" w:color="auto" w:fill="auto"/>
            <w:vAlign w:val="bottom"/>
          </w:tcPr>
          <w:p w14:paraId="5084B2E9" w14:textId="77777777" w:rsidR="00B556DE" w:rsidRPr="00171C2D" w:rsidRDefault="000D6BB0">
            <w:pPr>
              <w:spacing w:line="240" w:lineRule="auto"/>
              <w:jc w:val="center"/>
              <w:rPr>
                <w:rFonts w:ascii="Avenir" w:eastAsia="Avenir" w:hAnsi="Avenir" w:cs="Avenir"/>
                <w:sz w:val="16"/>
                <w:szCs w:val="16"/>
                <w:lang w:val="en-GB"/>
              </w:rPr>
            </w:pPr>
            <w:proofErr w:type="spellStart"/>
            <w:r w:rsidRPr="00171C2D">
              <w:rPr>
                <w:rFonts w:ascii="Avenir" w:eastAsia="Avenir" w:hAnsi="Avenir" w:cs="Avenir"/>
                <w:sz w:val="16"/>
                <w:szCs w:val="16"/>
                <w:lang w:val="en-GB"/>
              </w:rPr>
              <w:t>Topham</w:t>
            </w:r>
            <w:proofErr w:type="spellEnd"/>
          </w:p>
        </w:tc>
        <w:tc>
          <w:tcPr>
            <w:tcW w:w="1048" w:type="dxa"/>
            <w:tcBorders>
              <w:bottom w:val="single" w:sz="8" w:space="0" w:color="000000"/>
              <w:right w:val="single" w:sz="8" w:space="0" w:color="000000"/>
            </w:tcBorders>
            <w:shd w:val="clear" w:color="auto" w:fill="auto"/>
            <w:vAlign w:val="bottom"/>
          </w:tcPr>
          <w:p w14:paraId="0DD06904" w14:textId="08F57597"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458,688</w:t>
            </w:r>
          </w:p>
        </w:tc>
        <w:tc>
          <w:tcPr>
            <w:tcW w:w="942" w:type="dxa"/>
            <w:tcBorders>
              <w:bottom w:val="single" w:sz="8" w:space="0" w:color="000000"/>
              <w:right w:val="single" w:sz="8" w:space="0" w:color="000000"/>
            </w:tcBorders>
            <w:shd w:val="clear" w:color="auto" w:fill="auto"/>
            <w:vAlign w:val="bottom"/>
          </w:tcPr>
          <w:p w14:paraId="0F59862A" w14:textId="77777777" w:rsidR="00B556DE" w:rsidRPr="00171C2D" w:rsidRDefault="000D6BB0">
            <w:pPr>
              <w:spacing w:line="240" w:lineRule="auto"/>
              <w:jc w:val="center"/>
              <w:rPr>
                <w:rFonts w:ascii="Avenir" w:eastAsia="Avenir" w:hAnsi="Avenir" w:cs="Avenir"/>
                <w:sz w:val="16"/>
                <w:szCs w:val="16"/>
                <w:lang w:val="en-GB"/>
              </w:rPr>
            </w:pPr>
            <w:proofErr w:type="spellStart"/>
            <w:r w:rsidRPr="00171C2D">
              <w:rPr>
                <w:rFonts w:ascii="Avenir" w:eastAsia="Avenir" w:hAnsi="Avenir" w:cs="Avenir"/>
                <w:sz w:val="16"/>
                <w:szCs w:val="16"/>
                <w:lang w:val="en-GB"/>
              </w:rPr>
              <w:t>McLays</w:t>
            </w:r>
            <w:proofErr w:type="spellEnd"/>
          </w:p>
        </w:tc>
        <w:tc>
          <w:tcPr>
            <w:tcW w:w="1048" w:type="dxa"/>
            <w:tcBorders>
              <w:bottom w:val="single" w:sz="8" w:space="0" w:color="000000"/>
              <w:right w:val="single" w:sz="8" w:space="0" w:color="000000"/>
            </w:tcBorders>
            <w:shd w:val="clear" w:color="auto" w:fill="auto"/>
            <w:vAlign w:val="bottom"/>
          </w:tcPr>
          <w:p w14:paraId="787CA636" w14:textId="3EA984C3"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346,463</w:t>
            </w:r>
          </w:p>
        </w:tc>
        <w:tc>
          <w:tcPr>
            <w:tcW w:w="1194" w:type="dxa"/>
            <w:tcBorders>
              <w:bottom w:val="single" w:sz="8" w:space="0" w:color="000000"/>
              <w:right w:val="single" w:sz="8" w:space="0" w:color="000000"/>
            </w:tcBorders>
            <w:shd w:val="clear" w:color="auto" w:fill="auto"/>
            <w:vAlign w:val="bottom"/>
          </w:tcPr>
          <w:p w14:paraId="61016538" w14:textId="77777777" w:rsidR="00B556DE" w:rsidRPr="00171C2D" w:rsidRDefault="000D6BB0">
            <w:pPr>
              <w:spacing w:line="240" w:lineRule="auto"/>
              <w:jc w:val="center"/>
              <w:rPr>
                <w:rFonts w:ascii="Avenir" w:eastAsia="Avenir" w:hAnsi="Avenir" w:cs="Avenir"/>
                <w:sz w:val="16"/>
                <w:szCs w:val="16"/>
                <w:lang w:val="en-GB"/>
              </w:rPr>
            </w:pPr>
            <w:proofErr w:type="spellStart"/>
            <w:r w:rsidRPr="00171C2D">
              <w:rPr>
                <w:rFonts w:ascii="Avenir" w:eastAsia="Avenir" w:hAnsi="Avenir" w:cs="Avenir"/>
                <w:sz w:val="16"/>
                <w:szCs w:val="16"/>
                <w:lang w:val="en-GB"/>
              </w:rPr>
              <w:t>Stannp</w:t>
            </w:r>
            <w:proofErr w:type="spellEnd"/>
            <w:r w:rsidRPr="00171C2D">
              <w:rPr>
                <w:rFonts w:ascii="Avenir" w:eastAsia="Avenir" w:hAnsi="Avenir" w:cs="Avenir"/>
                <w:sz w:val="16"/>
                <w:szCs w:val="16"/>
                <w:lang w:val="en-GB"/>
              </w:rPr>
              <w:t xml:space="preserve"> Ltd</w:t>
            </w:r>
          </w:p>
        </w:tc>
        <w:tc>
          <w:tcPr>
            <w:tcW w:w="1048" w:type="dxa"/>
            <w:tcBorders>
              <w:bottom w:val="single" w:sz="8" w:space="0" w:color="000000"/>
              <w:right w:val="single" w:sz="8" w:space="0" w:color="000000"/>
            </w:tcBorders>
            <w:shd w:val="clear" w:color="auto" w:fill="auto"/>
            <w:vAlign w:val="bottom"/>
          </w:tcPr>
          <w:p w14:paraId="0D94FC13" w14:textId="0B636D03"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360,876</w:t>
            </w:r>
          </w:p>
        </w:tc>
        <w:tc>
          <w:tcPr>
            <w:tcW w:w="797" w:type="dxa"/>
            <w:tcBorders>
              <w:bottom w:val="single" w:sz="8" w:space="0" w:color="000000"/>
              <w:right w:val="single" w:sz="8" w:space="0" w:color="000000"/>
            </w:tcBorders>
            <w:shd w:val="clear" w:color="auto" w:fill="auto"/>
            <w:vAlign w:val="bottom"/>
          </w:tcPr>
          <w:p w14:paraId="27971981" w14:textId="77777777" w:rsidR="00B556DE" w:rsidRPr="00171C2D" w:rsidRDefault="000D6BB0">
            <w:pPr>
              <w:spacing w:line="240" w:lineRule="auto"/>
              <w:jc w:val="center"/>
              <w:rPr>
                <w:rFonts w:ascii="Avenir" w:eastAsia="Avenir" w:hAnsi="Avenir" w:cs="Avenir"/>
                <w:sz w:val="16"/>
                <w:szCs w:val="16"/>
                <w:lang w:val="en-GB"/>
              </w:rPr>
            </w:pPr>
            <w:proofErr w:type="spellStart"/>
            <w:r w:rsidRPr="00171C2D">
              <w:rPr>
                <w:rFonts w:ascii="Avenir" w:eastAsia="Avenir" w:hAnsi="Avenir" w:cs="Avenir"/>
                <w:sz w:val="16"/>
                <w:szCs w:val="16"/>
                <w:lang w:val="en-GB"/>
              </w:rPr>
              <w:t>Postworks</w:t>
            </w:r>
            <w:proofErr w:type="spellEnd"/>
          </w:p>
        </w:tc>
        <w:tc>
          <w:tcPr>
            <w:tcW w:w="838" w:type="dxa"/>
            <w:tcBorders>
              <w:bottom w:val="single" w:sz="8" w:space="0" w:color="000000"/>
              <w:right w:val="single" w:sz="8" w:space="0" w:color="000000"/>
            </w:tcBorders>
            <w:shd w:val="clear" w:color="auto" w:fill="auto"/>
            <w:vAlign w:val="bottom"/>
          </w:tcPr>
          <w:p w14:paraId="6ABA30F8" w14:textId="0C4B040B"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7,500</w:t>
            </w:r>
          </w:p>
        </w:tc>
        <w:tc>
          <w:tcPr>
            <w:tcW w:w="1118" w:type="dxa"/>
            <w:tcBorders>
              <w:bottom w:val="single" w:sz="8" w:space="0" w:color="000000"/>
              <w:right w:val="single" w:sz="8" w:space="0" w:color="000000"/>
            </w:tcBorders>
            <w:shd w:val="clear" w:color="auto" w:fill="4472C4"/>
            <w:vAlign w:val="bottom"/>
          </w:tcPr>
          <w:p w14:paraId="03F58266" w14:textId="77777777" w:rsidR="00B556DE" w:rsidRPr="00171C2D" w:rsidRDefault="000D6BB0">
            <w:pPr>
              <w:spacing w:line="240" w:lineRule="auto"/>
              <w:jc w:val="center"/>
              <w:rPr>
                <w:rFonts w:ascii="Avenir" w:eastAsia="Avenir" w:hAnsi="Avenir" w:cs="Avenir"/>
                <w:sz w:val="16"/>
                <w:szCs w:val="16"/>
                <w:lang w:val="en-GB"/>
              </w:rPr>
            </w:pPr>
            <w:r w:rsidRPr="00171C2D">
              <w:rPr>
                <w:rFonts w:ascii="Avenir" w:eastAsia="Avenir" w:hAnsi="Avenir" w:cs="Avenir"/>
                <w:sz w:val="16"/>
                <w:szCs w:val="16"/>
                <w:lang w:val="en-GB"/>
              </w:rPr>
              <w:t>Street Runners Ltd</w:t>
            </w:r>
          </w:p>
        </w:tc>
        <w:tc>
          <w:tcPr>
            <w:tcW w:w="927" w:type="dxa"/>
            <w:tcBorders>
              <w:bottom w:val="single" w:sz="8" w:space="0" w:color="000000"/>
              <w:right w:val="single" w:sz="8" w:space="0" w:color="000000"/>
            </w:tcBorders>
            <w:shd w:val="clear" w:color="auto" w:fill="auto"/>
            <w:vAlign w:val="bottom"/>
          </w:tcPr>
          <w:p w14:paraId="7C983088" w14:textId="16682F5F"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195,120</w:t>
            </w:r>
          </w:p>
        </w:tc>
        <w:tc>
          <w:tcPr>
            <w:tcW w:w="206" w:type="dxa"/>
            <w:tcMar>
              <w:top w:w="100" w:type="dxa"/>
              <w:left w:w="100" w:type="dxa"/>
              <w:right w:w="100" w:type="dxa"/>
            </w:tcMar>
          </w:tcPr>
          <w:p w14:paraId="758ADB6C" w14:textId="77777777" w:rsidR="00B556DE" w:rsidRPr="00171C2D" w:rsidRDefault="00B556DE"/>
        </w:tc>
      </w:tr>
      <w:tr w:rsidR="00171C2D" w:rsidRPr="00171C2D" w14:paraId="3D39533E" w14:textId="77777777" w:rsidTr="006E5855">
        <w:trPr>
          <w:trHeight w:val="690"/>
        </w:trPr>
        <w:tc>
          <w:tcPr>
            <w:tcW w:w="218" w:type="dxa"/>
            <w:tcBorders>
              <w:left w:val="single" w:sz="8" w:space="0" w:color="000000"/>
              <w:bottom w:val="single" w:sz="8" w:space="0" w:color="000000"/>
              <w:right w:val="single" w:sz="8" w:space="0" w:color="000000"/>
            </w:tcBorders>
            <w:shd w:val="clear" w:color="auto" w:fill="auto"/>
            <w:vAlign w:val="bottom"/>
          </w:tcPr>
          <w:p w14:paraId="7A053BD9" w14:textId="77777777" w:rsidR="00B556DE" w:rsidRPr="00171C2D" w:rsidRDefault="000D6BB0">
            <w:pPr>
              <w:spacing w:line="240" w:lineRule="auto"/>
              <w:jc w:val="center"/>
              <w:rPr>
                <w:rFonts w:ascii="Avenir" w:eastAsia="Avenir" w:hAnsi="Avenir" w:cs="Avenir"/>
                <w:sz w:val="16"/>
                <w:szCs w:val="16"/>
                <w:lang w:val="en-GB"/>
              </w:rPr>
            </w:pPr>
            <w:r w:rsidRPr="00171C2D">
              <w:rPr>
                <w:rFonts w:ascii="Avenir" w:eastAsia="Avenir" w:hAnsi="Avenir" w:cs="Avenir"/>
                <w:sz w:val="16"/>
                <w:szCs w:val="16"/>
                <w:lang w:val="en-GB"/>
              </w:rPr>
              <w:t>9</w:t>
            </w:r>
          </w:p>
        </w:tc>
        <w:tc>
          <w:tcPr>
            <w:tcW w:w="1194" w:type="dxa"/>
            <w:tcBorders>
              <w:bottom w:val="single" w:sz="8" w:space="0" w:color="000000"/>
              <w:right w:val="single" w:sz="8" w:space="0" w:color="000000"/>
            </w:tcBorders>
            <w:shd w:val="clear" w:color="auto" w:fill="auto"/>
            <w:vAlign w:val="bottom"/>
          </w:tcPr>
          <w:p w14:paraId="35D5F1F0" w14:textId="77777777" w:rsidR="00B556DE" w:rsidRPr="00171C2D" w:rsidRDefault="000D6BB0">
            <w:pPr>
              <w:spacing w:line="240" w:lineRule="auto"/>
              <w:jc w:val="center"/>
              <w:rPr>
                <w:rFonts w:ascii="Avenir" w:eastAsia="Avenir" w:hAnsi="Avenir" w:cs="Avenir"/>
                <w:sz w:val="16"/>
                <w:szCs w:val="16"/>
                <w:lang w:val="en-GB"/>
              </w:rPr>
            </w:pPr>
            <w:r w:rsidRPr="00171C2D">
              <w:rPr>
                <w:rFonts w:ascii="Avenir" w:eastAsia="Avenir" w:hAnsi="Avenir" w:cs="Avenir"/>
                <w:sz w:val="16"/>
                <w:szCs w:val="16"/>
                <w:lang w:val="en-GB"/>
              </w:rPr>
              <w:t>Crimson Tangerine</w:t>
            </w:r>
          </w:p>
        </w:tc>
        <w:tc>
          <w:tcPr>
            <w:tcW w:w="1048" w:type="dxa"/>
            <w:tcBorders>
              <w:bottom w:val="single" w:sz="8" w:space="0" w:color="000000"/>
              <w:right w:val="single" w:sz="8" w:space="0" w:color="000000"/>
            </w:tcBorders>
            <w:shd w:val="clear" w:color="auto" w:fill="auto"/>
            <w:vAlign w:val="bottom"/>
          </w:tcPr>
          <w:p w14:paraId="6BAF52A3" w14:textId="05CBF2F9"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418,400</w:t>
            </w:r>
          </w:p>
        </w:tc>
        <w:tc>
          <w:tcPr>
            <w:tcW w:w="942" w:type="dxa"/>
            <w:tcBorders>
              <w:bottom w:val="single" w:sz="8" w:space="0" w:color="000000"/>
              <w:right w:val="single" w:sz="8" w:space="0" w:color="000000"/>
            </w:tcBorders>
            <w:shd w:val="clear" w:color="auto" w:fill="auto"/>
            <w:vAlign w:val="bottom"/>
          </w:tcPr>
          <w:p w14:paraId="400217DF" w14:textId="77777777" w:rsidR="00B556DE" w:rsidRPr="00171C2D" w:rsidRDefault="000D6BB0">
            <w:pPr>
              <w:spacing w:line="240" w:lineRule="auto"/>
              <w:jc w:val="center"/>
              <w:rPr>
                <w:rFonts w:ascii="Avenir" w:eastAsia="Avenir" w:hAnsi="Avenir" w:cs="Avenir"/>
                <w:sz w:val="16"/>
                <w:szCs w:val="16"/>
                <w:lang w:val="en-GB"/>
              </w:rPr>
            </w:pPr>
            <w:r w:rsidRPr="00171C2D">
              <w:rPr>
                <w:rFonts w:ascii="Avenir" w:eastAsia="Avenir" w:hAnsi="Avenir" w:cs="Avenir"/>
                <w:sz w:val="16"/>
                <w:szCs w:val="16"/>
                <w:lang w:val="en-GB"/>
              </w:rPr>
              <w:t>Potts Print</w:t>
            </w:r>
          </w:p>
        </w:tc>
        <w:tc>
          <w:tcPr>
            <w:tcW w:w="1048" w:type="dxa"/>
            <w:tcBorders>
              <w:bottom w:val="single" w:sz="8" w:space="0" w:color="000000"/>
              <w:right w:val="single" w:sz="8" w:space="0" w:color="000000"/>
            </w:tcBorders>
            <w:shd w:val="clear" w:color="auto" w:fill="auto"/>
            <w:vAlign w:val="bottom"/>
          </w:tcPr>
          <w:p w14:paraId="2B5AAC24" w14:textId="1356F57E"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314,713</w:t>
            </w:r>
          </w:p>
        </w:tc>
        <w:tc>
          <w:tcPr>
            <w:tcW w:w="1194" w:type="dxa"/>
            <w:tcBorders>
              <w:bottom w:val="single" w:sz="8" w:space="0" w:color="000000"/>
              <w:right w:val="single" w:sz="8" w:space="0" w:color="000000"/>
            </w:tcBorders>
            <w:shd w:val="clear" w:color="auto" w:fill="auto"/>
            <w:vAlign w:val="bottom"/>
          </w:tcPr>
          <w:p w14:paraId="508AAAA8" w14:textId="77777777" w:rsidR="00B556DE" w:rsidRPr="00171C2D" w:rsidRDefault="000D6BB0">
            <w:pPr>
              <w:spacing w:line="240" w:lineRule="auto"/>
              <w:jc w:val="center"/>
              <w:rPr>
                <w:rFonts w:ascii="Avenir" w:eastAsia="Avenir" w:hAnsi="Avenir" w:cs="Avenir"/>
                <w:sz w:val="16"/>
                <w:szCs w:val="16"/>
                <w:lang w:val="en-GB"/>
              </w:rPr>
            </w:pPr>
            <w:proofErr w:type="spellStart"/>
            <w:r w:rsidRPr="00171C2D">
              <w:rPr>
                <w:rFonts w:ascii="Avenir" w:eastAsia="Avenir" w:hAnsi="Avenir" w:cs="Avenir"/>
                <w:sz w:val="16"/>
                <w:szCs w:val="16"/>
                <w:lang w:val="en-GB"/>
              </w:rPr>
              <w:t>Mortons</w:t>
            </w:r>
            <w:proofErr w:type="spellEnd"/>
            <w:r w:rsidRPr="00171C2D">
              <w:rPr>
                <w:rFonts w:ascii="Avenir" w:eastAsia="Avenir" w:hAnsi="Avenir" w:cs="Avenir"/>
                <w:sz w:val="16"/>
                <w:szCs w:val="16"/>
                <w:lang w:val="en-GB"/>
              </w:rPr>
              <w:t xml:space="preserve"> Media Group Ltd</w:t>
            </w:r>
          </w:p>
        </w:tc>
        <w:tc>
          <w:tcPr>
            <w:tcW w:w="1048" w:type="dxa"/>
            <w:tcBorders>
              <w:bottom w:val="single" w:sz="8" w:space="0" w:color="000000"/>
              <w:right w:val="single" w:sz="8" w:space="0" w:color="000000"/>
            </w:tcBorders>
            <w:shd w:val="clear" w:color="auto" w:fill="auto"/>
            <w:vAlign w:val="bottom"/>
          </w:tcPr>
          <w:p w14:paraId="72C1D71B" w14:textId="562D8062"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296,7</w:t>
            </w:r>
            <w:r w:rsidR="000D6BB0" w:rsidRPr="00171C2D">
              <w:rPr>
                <w:rFonts w:ascii="Avenir" w:eastAsia="Avenir" w:hAnsi="Avenir" w:cs="Avenir"/>
                <w:sz w:val="16"/>
                <w:szCs w:val="16"/>
                <w:vertAlign w:val="superscript"/>
                <w:lang w:val="en-GB"/>
              </w:rPr>
              <w:t>34</w:t>
            </w:r>
          </w:p>
        </w:tc>
        <w:tc>
          <w:tcPr>
            <w:tcW w:w="797" w:type="dxa"/>
            <w:tcBorders>
              <w:bottom w:val="single" w:sz="8" w:space="0" w:color="000000"/>
              <w:right w:val="single" w:sz="8" w:space="0" w:color="000000"/>
            </w:tcBorders>
            <w:shd w:val="clear" w:color="auto" w:fill="auto"/>
            <w:vAlign w:val="bottom"/>
          </w:tcPr>
          <w:p w14:paraId="11660C1D" w14:textId="77777777" w:rsidR="00B556DE" w:rsidRPr="00171C2D" w:rsidRDefault="000D6BB0">
            <w:pPr>
              <w:spacing w:line="240" w:lineRule="auto"/>
              <w:jc w:val="center"/>
              <w:rPr>
                <w:rFonts w:ascii="Avenir" w:eastAsia="Avenir" w:hAnsi="Avenir" w:cs="Avenir"/>
                <w:sz w:val="16"/>
                <w:szCs w:val="16"/>
                <w:lang w:val="en-GB"/>
              </w:rPr>
            </w:pPr>
            <w:r w:rsidRPr="00171C2D">
              <w:rPr>
                <w:rFonts w:ascii="Avenir" w:eastAsia="Avenir" w:hAnsi="Avenir" w:cs="Avenir"/>
                <w:sz w:val="16"/>
                <w:szCs w:val="16"/>
                <w:lang w:val="en-GB"/>
              </w:rPr>
              <w:t>1st Choice Facilities Services Ltd</w:t>
            </w:r>
          </w:p>
        </w:tc>
        <w:tc>
          <w:tcPr>
            <w:tcW w:w="838" w:type="dxa"/>
            <w:tcBorders>
              <w:bottom w:val="single" w:sz="8" w:space="0" w:color="000000"/>
              <w:right w:val="single" w:sz="8" w:space="0" w:color="000000"/>
            </w:tcBorders>
            <w:shd w:val="clear" w:color="auto" w:fill="auto"/>
            <w:vAlign w:val="bottom"/>
          </w:tcPr>
          <w:p w14:paraId="12EB7E31" w14:textId="4B8B8746"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7,500</w:t>
            </w:r>
          </w:p>
        </w:tc>
        <w:tc>
          <w:tcPr>
            <w:tcW w:w="1118" w:type="dxa"/>
            <w:tcBorders>
              <w:bottom w:val="single" w:sz="8" w:space="0" w:color="000000"/>
              <w:right w:val="single" w:sz="8" w:space="0" w:color="000000"/>
            </w:tcBorders>
            <w:shd w:val="clear" w:color="auto" w:fill="auto"/>
            <w:vAlign w:val="bottom"/>
          </w:tcPr>
          <w:p w14:paraId="6F54E67B" w14:textId="77777777" w:rsidR="00B556DE" w:rsidRPr="00171C2D" w:rsidRDefault="000D6BB0">
            <w:pPr>
              <w:spacing w:line="240" w:lineRule="auto"/>
              <w:jc w:val="center"/>
              <w:rPr>
                <w:rFonts w:ascii="Avenir" w:eastAsia="Avenir" w:hAnsi="Avenir" w:cs="Avenir"/>
                <w:sz w:val="16"/>
                <w:szCs w:val="16"/>
                <w:lang w:val="en-GB"/>
              </w:rPr>
            </w:pPr>
            <w:proofErr w:type="spellStart"/>
            <w:r w:rsidRPr="00171C2D">
              <w:rPr>
                <w:rFonts w:ascii="Avenir" w:eastAsia="Avenir" w:hAnsi="Avenir" w:cs="Avenir"/>
                <w:sz w:val="16"/>
                <w:szCs w:val="16"/>
                <w:lang w:val="en-GB"/>
              </w:rPr>
              <w:t>Bakergoodchild</w:t>
            </w:r>
            <w:proofErr w:type="spellEnd"/>
          </w:p>
        </w:tc>
        <w:tc>
          <w:tcPr>
            <w:tcW w:w="927" w:type="dxa"/>
            <w:tcBorders>
              <w:bottom w:val="single" w:sz="8" w:space="0" w:color="000000"/>
              <w:right w:val="single" w:sz="8" w:space="0" w:color="000000"/>
            </w:tcBorders>
            <w:shd w:val="clear" w:color="auto" w:fill="auto"/>
            <w:vAlign w:val="bottom"/>
          </w:tcPr>
          <w:p w14:paraId="271ADDDE" w14:textId="774BF05F"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192,714</w:t>
            </w:r>
          </w:p>
        </w:tc>
        <w:tc>
          <w:tcPr>
            <w:tcW w:w="206" w:type="dxa"/>
            <w:tcMar>
              <w:top w:w="100" w:type="dxa"/>
              <w:left w:w="100" w:type="dxa"/>
              <w:right w:w="100" w:type="dxa"/>
            </w:tcMar>
          </w:tcPr>
          <w:p w14:paraId="4CBE57C1" w14:textId="77777777" w:rsidR="00B556DE" w:rsidRPr="00171C2D" w:rsidRDefault="00B556DE"/>
        </w:tc>
      </w:tr>
      <w:tr w:rsidR="00171C2D" w:rsidRPr="00171C2D" w14:paraId="2598E808" w14:textId="77777777" w:rsidTr="006E5855">
        <w:trPr>
          <w:trHeight w:val="645"/>
        </w:trPr>
        <w:tc>
          <w:tcPr>
            <w:tcW w:w="218" w:type="dxa"/>
            <w:tcBorders>
              <w:left w:val="single" w:sz="8" w:space="0" w:color="000000"/>
              <w:bottom w:val="single" w:sz="8" w:space="0" w:color="000000"/>
              <w:right w:val="single" w:sz="8" w:space="0" w:color="000000"/>
            </w:tcBorders>
            <w:shd w:val="clear" w:color="auto" w:fill="auto"/>
            <w:vAlign w:val="bottom"/>
          </w:tcPr>
          <w:p w14:paraId="5B3B39FA" w14:textId="77777777" w:rsidR="00B556DE" w:rsidRPr="00171C2D" w:rsidRDefault="000D6BB0">
            <w:pPr>
              <w:spacing w:line="240" w:lineRule="auto"/>
              <w:jc w:val="center"/>
              <w:rPr>
                <w:rFonts w:ascii="Avenir" w:eastAsia="Avenir" w:hAnsi="Avenir" w:cs="Avenir"/>
                <w:sz w:val="16"/>
                <w:szCs w:val="16"/>
                <w:lang w:val="en-GB"/>
              </w:rPr>
            </w:pPr>
            <w:r w:rsidRPr="00171C2D">
              <w:rPr>
                <w:rFonts w:ascii="Avenir" w:eastAsia="Avenir" w:hAnsi="Avenir" w:cs="Avenir"/>
                <w:sz w:val="16"/>
                <w:szCs w:val="16"/>
                <w:lang w:val="en-GB"/>
              </w:rPr>
              <w:t>10</w:t>
            </w:r>
          </w:p>
        </w:tc>
        <w:tc>
          <w:tcPr>
            <w:tcW w:w="1194" w:type="dxa"/>
            <w:tcBorders>
              <w:bottom w:val="single" w:sz="8" w:space="0" w:color="000000"/>
              <w:right w:val="single" w:sz="8" w:space="0" w:color="000000"/>
            </w:tcBorders>
            <w:shd w:val="clear" w:color="auto" w:fill="auto"/>
            <w:vAlign w:val="bottom"/>
          </w:tcPr>
          <w:p w14:paraId="0A2C1E77" w14:textId="77777777" w:rsidR="00B556DE" w:rsidRPr="00171C2D" w:rsidRDefault="000D6BB0">
            <w:pPr>
              <w:spacing w:line="240" w:lineRule="auto"/>
              <w:jc w:val="center"/>
              <w:rPr>
                <w:rFonts w:ascii="Avenir" w:eastAsia="Avenir" w:hAnsi="Avenir" w:cs="Avenir"/>
                <w:sz w:val="16"/>
                <w:szCs w:val="16"/>
                <w:lang w:val="en-GB"/>
              </w:rPr>
            </w:pPr>
            <w:r w:rsidRPr="00171C2D">
              <w:rPr>
                <w:rFonts w:ascii="Avenir" w:eastAsia="Avenir" w:hAnsi="Avenir" w:cs="Avenir"/>
                <w:sz w:val="16"/>
                <w:szCs w:val="16"/>
                <w:lang w:val="en-GB"/>
              </w:rPr>
              <w:t>Blue Telecoms</w:t>
            </w:r>
          </w:p>
        </w:tc>
        <w:tc>
          <w:tcPr>
            <w:tcW w:w="1048" w:type="dxa"/>
            <w:tcBorders>
              <w:bottom w:val="single" w:sz="8" w:space="0" w:color="000000"/>
              <w:right w:val="single" w:sz="8" w:space="0" w:color="000000"/>
            </w:tcBorders>
            <w:shd w:val="clear" w:color="auto" w:fill="auto"/>
            <w:vAlign w:val="bottom"/>
          </w:tcPr>
          <w:p w14:paraId="59996B42" w14:textId="483D8BD1"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399,866</w:t>
            </w:r>
          </w:p>
        </w:tc>
        <w:tc>
          <w:tcPr>
            <w:tcW w:w="942" w:type="dxa"/>
            <w:tcBorders>
              <w:bottom w:val="single" w:sz="8" w:space="0" w:color="000000"/>
              <w:right w:val="single" w:sz="8" w:space="0" w:color="000000"/>
            </w:tcBorders>
            <w:shd w:val="clear" w:color="auto" w:fill="auto"/>
            <w:vAlign w:val="bottom"/>
          </w:tcPr>
          <w:p w14:paraId="6DB4AD5F" w14:textId="77777777" w:rsidR="00B556DE" w:rsidRPr="00171C2D" w:rsidRDefault="000D6BB0">
            <w:pPr>
              <w:spacing w:line="240" w:lineRule="auto"/>
              <w:jc w:val="center"/>
              <w:rPr>
                <w:rFonts w:ascii="Avenir" w:eastAsia="Avenir" w:hAnsi="Avenir" w:cs="Avenir"/>
                <w:sz w:val="16"/>
                <w:szCs w:val="16"/>
                <w:lang w:val="en-GB"/>
              </w:rPr>
            </w:pPr>
            <w:r w:rsidRPr="00171C2D">
              <w:rPr>
                <w:rFonts w:ascii="Avenir" w:eastAsia="Avenir" w:hAnsi="Avenir" w:cs="Avenir"/>
                <w:sz w:val="16"/>
                <w:szCs w:val="16"/>
                <w:lang w:val="en-GB"/>
              </w:rPr>
              <w:t>Barefoot Live</w:t>
            </w:r>
          </w:p>
        </w:tc>
        <w:tc>
          <w:tcPr>
            <w:tcW w:w="1048" w:type="dxa"/>
            <w:tcBorders>
              <w:bottom w:val="single" w:sz="8" w:space="0" w:color="000000"/>
              <w:right w:val="single" w:sz="8" w:space="0" w:color="000000"/>
            </w:tcBorders>
            <w:shd w:val="clear" w:color="auto" w:fill="auto"/>
            <w:vAlign w:val="bottom"/>
          </w:tcPr>
          <w:p w14:paraId="476C1304" w14:textId="6444217D"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203,357</w:t>
            </w:r>
          </w:p>
        </w:tc>
        <w:tc>
          <w:tcPr>
            <w:tcW w:w="1194" w:type="dxa"/>
            <w:tcBorders>
              <w:bottom w:val="single" w:sz="8" w:space="0" w:color="000000"/>
              <w:right w:val="single" w:sz="8" w:space="0" w:color="000000"/>
            </w:tcBorders>
            <w:shd w:val="clear" w:color="auto" w:fill="auto"/>
            <w:vAlign w:val="bottom"/>
          </w:tcPr>
          <w:p w14:paraId="182263E3" w14:textId="77777777" w:rsidR="00B556DE" w:rsidRPr="00171C2D" w:rsidRDefault="000D6BB0">
            <w:pPr>
              <w:spacing w:line="240" w:lineRule="auto"/>
              <w:jc w:val="center"/>
              <w:rPr>
                <w:rFonts w:ascii="Avenir" w:eastAsia="Avenir" w:hAnsi="Avenir" w:cs="Avenir"/>
                <w:sz w:val="16"/>
                <w:szCs w:val="16"/>
                <w:lang w:val="en-GB"/>
              </w:rPr>
            </w:pPr>
            <w:r w:rsidRPr="00171C2D">
              <w:rPr>
                <w:rFonts w:ascii="Avenir" w:eastAsia="Avenir" w:hAnsi="Avenir" w:cs="Avenir"/>
                <w:sz w:val="16"/>
                <w:szCs w:val="16"/>
                <w:lang w:val="en-GB"/>
              </w:rPr>
              <w:t>NGP Van Inc</w:t>
            </w:r>
          </w:p>
        </w:tc>
        <w:tc>
          <w:tcPr>
            <w:tcW w:w="1048" w:type="dxa"/>
            <w:tcBorders>
              <w:bottom w:val="single" w:sz="8" w:space="0" w:color="000000"/>
              <w:right w:val="single" w:sz="8" w:space="0" w:color="000000"/>
            </w:tcBorders>
            <w:shd w:val="clear" w:color="auto" w:fill="auto"/>
            <w:vAlign w:val="bottom"/>
          </w:tcPr>
          <w:p w14:paraId="7A5EB05C" w14:textId="4B462A63"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218,374</w:t>
            </w:r>
          </w:p>
        </w:tc>
        <w:tc>
          <w:tcPr>
            <w:tcW w:w="797" w:type="dxa"/>
            <w:tcBorders>
              <w:bottom w:val="single" w:sz="8" w:space="0" w:color="000000"/>
              <w:right w:val="single" w:sz="8" w:space="0" w:color="000000"/>
            </w:tcBorders>
            <w:shd w:val="clear" w:color="auto" w:fill="4472C4"/>
            <w:vAlign w:val="bottom"/>
          </w:tcPr>
          <w:p w14:paraId="1DA0C2C5" w14:textId="77777777" w:rsidR="00B556DE" w:rsidRPr="00171C2D" w:rsidRDefault="000D6BB0">
            <w:pPr>
              <w:spacing w:line="240" w:lineRule="auto"/>
              <w:jc w:val="center"/>
              <w:rPr>
                <w:rFonts w:ascii="Avenir" w:eastAsia="Avenir" w:hAnsi="Avenir" w:cs="Avenir"/>
                <w:sz w:val="16"/>
                <w:szCs w:val="16"/>
                <w:lang w:val="en-GB"/>
              </w:rPr>
            </w:pPr>
            <w:r w:rsidRPr="00171C2D">
              <w:rPr>
                <w:rFonts w:ascii="Avenir" w:eastAsia="Avenir" w:hAnsi="Avenir" w:cs="Avenir"/>
                <w:sz w:val="16"/>
                <w:szCs w:val="16"/>
                <w:lang w:val="en-GB"/>
              </w:rPr>
              <w:t>Newsquest (London) Ltd</w:t>
            </w:r>
          </w:p>
        </w:tc>
        <w:tc>
          <w:tcPr>
            <w:tcW w:w="838" w:type="dxa"/>
            <w:tcBorders>
              <w:bottom w:val="single" w:sz="8" w:space="0" w:color="000000"/>
              <w:right w:val="single" w:sz="8" w:space="0" w:color="000000"/>
            </w:tcBorders>
            <w:shd w:val="clear" w:color="auto" w:fill="auto"/>
            <w:vAlign w:val="bottom"/>
          </w:tcPr>
          <w:p w14:paraId="3B5CB118" w14:textId="4CB7C43B"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7,335</w:t>
            </w:r>
          </w:p>
        </w:tc>
        <w:tc>
          <w:tcPr>
            <w:tcW w:w="1118" w:type="dxa"/>
            <w:tcBorders>
              <w:bottom w:val="single" w:sz="8" w:space="0" w:color="000000"/>
              <w:right w:val="single" w:sz="8" w:space="0" w:color="000000"/>
            </w:tcBorders>
            <w:shd w:val="clear" w:color="auto" w:fill="auto"/>
            <w:vAlign w:val="bottom"/>
          </w:tcPr>
          <w:p w14:paraId="6E02C207" w14:textId="77777777" w:rsidR="00B556DE" w:rsidRPr="00171C2D" w:rsidRDefault="000D6BB0">
            <w:pPr>
              <w:spacing w:line="240" w:lineRule="auto"/>
              <w:jc w:val="center"/>
              <w:rPr>
                <w:rFonts w:ascii="Avenir" w:eastAsia="Avenir" w:hAnsi="Avenir" w:cs="Avenir"/>
                <w:sz w:val="16"/>
                <w:szCs w:val="16"/>
                <w:lang w:val="en-GB"/>
              </w:rPr>
            </w:pPr>
            <w:proofErr w:type="spellStart"/>
            <w:r w:rsidRPr="00171C2D">
              <w:rPr>
                <w:rFonts w:ascii="Avenir" w:eastAsia="Avenir" w:hAnsi="Avenir" w:cs="Avenir"/>
                <w:sz w:val="16"/>
                <w:szCs w:val="16"/>
                <w:lang w:val="en-GB"/>
              </w:rPr>
              <w:t>Secura</w:t>
            </w:r>
            <w:proofErr w:type="spellEnd"/>
            <w:r w:rsidRPr="00171C2D">
              <w:rPr>
                <w:rFonts w:ascii="Avenir" w:eastAsia="Avenir" w:hAnsi="Avenir" w:cs="Avenir"/>
                <w:sz w:val="16"/>
                <w:szCs w:val="16"/>
                <w:lang w:val="en-GB"/>
              </w:rPr>
              <w:t xml:space="preserve"> HQ Ltd</w:t>
            </w:r>
          </w:p>
        </w:tc>
        <w:tc>
          <w:tcPr>
            <w:tcW w:w="927" w:type="dxa"/>
            <w:tcBorders>
              <w:bottom w:val="single" w:sz="8" w:space="0" w:color="000000"/>
              <w:right w:val="single" w:sz="8" w:space="0" w:color="000000"/>
            </w:tcBorders>
            <w:shd w:val="clear" w:color="auto" w:fill="auto"/>
            <w:vAlign w:val="bottom"/>
          </w:tcPr>
          <w:p w14:paraId="7ADA7E5A" w14:textId="51889A14" w:rsidR="00B556DE" w:rsidRPr="00171C2D" w:rsidRDefault="009014F3">
            <w:pPr>
              <w:spacing w:line="240" w:lineRule="auto"/>
              <w:jc w:val="center"/>
              <w:rPr>
                <w:rFonts w:ascii="Avenir" w:eastAsia="Avenir" w:hAnsi="Avenir" w:cs="Avenir"/>
                <w:sz w:val="16"/>
                <w:szCs w:val="16"/>
                <w:lang w:val="en-GB"/>
              </w:rPr>
            </w:pPr>
            <w:r>
              <w:rPr>
                <w:rFonts w:ascii="Avenir" w:eastAsia="Avenir" w:hAnsi="Avenir" w:cs="Avenir"/>
                <w:sz w:val="16"/>
                <w:szCs w:val="16"/>
                <w:lang w:val="en-GB"/>
              </w:rPr>
              <w:t>GBP </w:t>
            </w:r>
            <w:r w:rsidR="000D6BB0" w:rsidRPr="00171C2D">
              <w:rPr>
                <w:rFonts w:ascii="Avenir" w:eastAsia="Avenir" w:hAnsi="Avenir" w:cs="Avenir"/>
                <w:sz w:val="16"/>
                <w:szCs w:val="16"/>
                <w:lang w:val="en-GB"/>
              </w:rPr>
              <w:t>189,224</w:t>
            </w:r>
          </w:p>
        </w:tc>
        <w:tc>
          <w:tcPr>
            <w:tcW w:w="206" w:type="dxa"/>
            <w:tcMar>
              <w:top w:w="100" w:type="dxa"/>
              <w:left w:w="100" w:type="dxa"/>
              <w:right w:w="100" w:type="dxa"/>
            </w:tcMar>
          </w:tcPr>
          <w:p w14:paraId="2B2E2D9F" w14:textId="77777777" w:rsidR="00B556DE" w:rsidRPr="00171C2D" w:rsidRDefault="00B556DE"/>
        </w:tc>
      </w:tr>
    </w:tbl>
    <w:p w14:paraId="329BF90F" w14:textId="567EAB19" w:rsidR="00750E21" w:rsidRDefault="006E5855" w:rsidP="00750E21">
      <w:pPr>
        <w:rPr>
          <w:rFonts w:ascii="Avenir" w:eastAsia="Avenir" w:hAnsi="Avenir" w:cs="Avenir"/>
          <w:lang w:val="en-GB"/>
        </w:rPr>
      </w:pPr>
      <w:r>
        <w:rPr>
          <w:rFonts w:ascii="Avenir" w:eastAsia="Avenir" w:hAnsi="Avenir" w:cs="Avenir"/>
          <w:lang w:val="en-GB"/>
        </w:rPr>
        <w:lastRenderedPageBreak/>
        <w:t>Source:</w:t>
      </w:r>
      <w:r w:rsidR="00750E21" w:rsidRPr="00750E21">
        <w:rPr>
          <w:rFonts w:ascii="Avenir" w:eastAsia="Avenir" w:hAnsi="Avenir" w:cs="Avenir"/>
          <w:lang w:val="en-GB"/>
        </w:rPr>
        <w:t xml:space="preserve"> </w:t>
      </w:r>
      <w:r w:rsidR="00750E21">
        <w:rPr>
          <w:rFonts w:ascii="Avenir" w:eastAsia="Avenir" w:hAnsi="Avenir" w:cs="Avenir"/>
          <w:lang w:val="en-GB"/>
        </w:rPr>
        <w:t>Authors´ analysis of invoices returned to the Electoral Commission for the 2019 General Election.</w:t>
      </w:r>
    </w:p>
    <w:p w14:paraId="760A4861" w14:textId="24AE8706" w:rsidR="00B556DE" w:rsidRDefault="00B556DE">
      <w:pPr>
        <w:jc w:val="both"/>
        <w:rPr>
          <w:rFonts w:ascii="Avenir" w:eastAsia="Avenir" w:hAnsi="Avenir" w:cs="Avenir"/>
          <w:lang w:val="en-GB"/>
        </w:rPr>
      </w:pPr>
    </w:p>
    <w:p w14:paraId="4C9787EE" w14:textId="7332AD3B" w:rsidR="006E5855" w:rsidRDefault="006E5855">
      <w:pPr>
        <w:jc w:val="both"/>
        <w:rPr>
          <w:rFonts w:ascii="Avenir" w:eastAsia="Avenir" w:hAnsi="Avenir" w:cs="Avenir"/>
          <w:lang w:val="en-GB"/>
        </w:rPr>
      </w:pPr>
      <w:r w:rsidRPr="006E5855">
        <w:rPr>
          <w:rFonts w:ascii="Avenir" w:eastAsia="Avenir" w:hAnsi="Avenir" w:cs="Avenir"/>
          <w:i/>
          <w:iCs/>
          <w:lang w:val="en-GB"/>
        </w:rPr>
        <w:t>Note</w:t>
      </w:r>
      <w:r>
        <w:rPr>
          <w:rFonts w:ascii="Avenir" w:eastAsia="Avenir" w:hAnsi="Avenir" w:cs="Avenir"/>
          <w:i/>
          <w:iCs/>
          <w:lang w:val="en-GB"/>
        </w:rPr>
        <w:t>s</w:t>
      </w:r>
      <w:r>
        <w:rPr>
          <w:rFonts w:ascii="Avenir" w:eastAsia="Avenir" w:hAnsi="Avenir" w:cs="Avenir"/>
          <w:lang w:val="en-GB"/>
        </w:rPr>
        <w:t xml:space="preserve">: (1) </w:t>
      </w:r>
      <w:r w:rsidRPr="006E5855">
        <w:rPr>
          <w:rFonts w:ascii="Avenir" w:eastAsia="Avenir" w:hAnsi="Avenir" w:cs="Avenir"/>
          <w:lang w:val="en-GB"/>
        </w:rPr>
        <w:t>All figures have been rounded up or down to the nearest pound.</w:t>
      </w:r>
      <w:r>
        <w:rPr>
          <w:rFonts w:ascii="Avenir" w:eastAsia="Avenir" w:hAnsi="Avenir" w:cs="Avenir"/>
          <w:lang w:val="en-GB"/>
        </w:rPr>
        <w:t xml:space="preserve"> </w:t>
      </w:r>
      <w:r w:rsidR="007E2213">
        <w:rPr>
          <w:rFonts w:ascii="Avenir" w:eastAsia="Avenir" w:hAnsi="Avenir" w:cs="Avenir"/>
          <w:lang w:val="en-GB"/>
        </w:rPr>
        <w:br/>
      </w:r>
      <w:r>
        <w:rPr>
          <w:rFonts w:ascii="Avenir" w:eastAsia="Avenir" w:hAnsi="Avenir" w:cs="Avenir"/>
          <w:lang w:val="en-GB"/>
        </w:rPr>
        <w:t xml:space="preserve">(2) </w:t>
      </w:r>
      <w:r w:rsidRPr="006E5855">
        <w:rPr>
          <w:rFonts w:ascii="Avenir" w:eastAsia="Avenir" w:hAnsi="Avenir" w:cs="Avenir"/>
          <w:lang w:val="en-GB"/>
        </w:rPr>
        <w:t xml:space="preserve">If a pane is shaded blue but the supplier does not appear twice in Table 2, this shows where a supplier is working with another party that is either not listed in this </w:t>
      </w:r>
      <w:proofErr w:type="gramStart"/>
      <w:r w:rsidRPr="006E5855">
        <w:rPr>
          <w:rFonts w:ascii="Avenir" w:eastAsia="Avenir" w:hAnsi="Avenir" w:cs="Avenir"/>
          <w:lang w:val="en-GB"/>
        </w:rPr>
        <w:t>table, or</w:t>
      </w:r>
      <w:proofErr w:type="gramEnd"/>
      <w:r w:rsidRPr="006E5855">
        <w:rPr>
          <w:rFonts w:ascii="Avenir" w:eastAsia="Avenir" w:hAnsi="Avenir" w:cs="Avenir"/>
          <w:lang w:val="en-GB"/>
        </w:rPr>
        <w:t xml:space="preserve"> is listed but the supplier does not feature as one of the top 10 by spend by that party.</w:t>
      </w:r>
    </w:p>
    <w:p w14:paraId="2BF28050" w14:textId="77777777" w:rsidR="006E5855" w:rsidRPr="00171C2D" w:rsidRDefault="006E5855">
      <w:pPr>
        <w:jc w:val="both"/>
        <w:rPr>
          <w:rFonts w:ascii="Avenir" w:eastAsia="Avenir" w:hAnsi="Avenir" w:cs="Avenir"/>
          <w:lang w:val="en-GB"/>
        </w:rPr>
      </w:pPr>
    </w:p>
    <w:p w14:paraId="0387AA67" w14:textId="0555CDDD" w:rsidR="00B556DE" w:rsidRPr="00171C2D" w:rsidRDefault="000D6BB0">
      <w:pPr>
        <w:jc w:val="both"/>
        <w:rPr>
          <w:rFonts w:ascii="Avenir" w:eastAsia="Avenir" w:hAnsi="Avenir" w:cs="Avenir"/>
          <w:lang w:val="en-GB"/>
        </w:rPr>
      </w:pPr>
      <w:r w:rsidRPr="00171C2D">
        <w:rPr>
          <w:rFonts w:ascii="Avenir" w:eastAsia="Avenir" w:hAnsi="Avenir" w:cs="Avenir"/>
          <w:lang w:val="en-GB"/>
        </w:rPr>
        <w:t>While provid</w:t>
      </w:r>
      <w:r w:rsidR="00FB6D39" w:rsidRPr="00171C2D">
        <w:rPr>
          <w:rFonts w:ascii="Avenir" w:eastAsia="Avenir" w:hAnsi="Avenir" w:cs="Avenir"/>
          <w:lang w:val="en-GB"/>
        </w:rPr>
        <w:t>ing</w:t>
      </w:r>
      <w:r w:rsidRPr="00171C2D">
        <w:rPr>
          <w:rFonts w:ascii="Avenir" w:eastAsia="Avenir" w:hAnsi="Avenir" w:cs="Avenir"/>
          <w:lang w:val="en-GB"/>
        </w:rPr>
        <w:t xml:space="preserve"> some information about the nature of the election supplier industry, many questions remain unanswered. It is not clear, for example, what exactly these suppliers are doing for parties in practice, and whether the Electoral Commission’s categories provide an accurate account of campaign activity. </w:t>
      </w:r>
    </w:p>
    <w:p w14:paraId="06A0D9F5" w14:textId="77777777" w:rsidR="00B556DE" w:rsidRPr="00171C2D" w:rsidRDefault="00B556DE">
      <w:pPr>
        <w:jc w:val="both"/>
        <w:rPr>
          <w:rFonts w:ascii="Avenir" w:eastAsia="Avenir" w:hAnsi="Avenir" w:cs="Avenir"/>
          <w:lang w:val="en-GB"/>
        </w:rPr>
      </w:pPr>
    </w:p>
    <w:p w14:paraId="63D649BE" w14:textId="77777777" w:rsidR="00B556DE" w:rsidRPr="00171C2D" w:rsidRDefault="000D6BB0">
      <w:pPr>
        <w:jc w:val="both"/>
        <w:rPr>
          <w:rFonts w:ascii="Avenir" w:eastAsia="Avenir" w:hAnsi="Avenir" w:cs="Avenir"/>
          <w:lang w:val="en-GB"/>
        </w:rPr>
      </w:pPr>
      <w:r w:rsidRPr="00171C2D">
        <w:rPr>
          <w:rFonts w:ascii="Avenir" w:eastAsia="Avenir" w:hAnsi="Avenir" w:cs="Avenir"/>
          <w:lang w:val="en-GB"/>
        </w:rPr>
        <w:t>For this reason, the research team analysed 13,202 invoices returned to the Electoral Commission (these invoices covered all Electoral Commission categories except transport, which was excluded from the analysis).</w:t>
      </w:r>
      <w:r w:rsidRPr="00171C2D">
        <w:rPr>
          <w:rStyle w:val="FootnoteAnchor"/>
          <w:rFonts w:ascii="Avenir" w:eastAsia="Avenir" w:hAnsi="Avenir" w:cs="Avenir"/>
          <w:lang w:val="en-GB"/>
        </w:rPr>
        <w:footnoteReference w:id="9"/>
      </w:r>
      <w:r w:rsidRPr="00171C2D">
        <w:rPr>
          <w:rFonts w:ascii="Avenir" w:eastAsia="Avenir" w:hAnsi="Avenir" w:cs="Avenir"/>
          <w:lang w:val="en-GB"/>
        </w:rPr>
        <w:t xml:space="preserve"> Applying a custom coding process (outlined in the Appendix on Methodology), the research team generated new insight, first, into the quality of existing transparency declarations, and second, into the suitability of existing declaration categories. </w:t>
      </w:r>
    </w:p>
    <w:p w14:paraId="2ED7F1A4" w14:textId="77777777" w:rsidR="00B556DE" w:rsidRPr="00171C2D" w:rsidRDefault="00B556DE">
      <w:pPr>
        <w:jc w:val="both"/>
        <w:rPr>
          <w:rFonts w:ascii="Avenir" w:eastAsia="Avenir" w:hAnsi="Avenir" w:cs="Avenir"/>
          <w:lang w:val="en-GB"/>
        </w:rPr>
      </w:pPr>
    </w:p>
    <w:p w14:paraId="3AE54564" w14:textId="237FCBAA" w:rsidR="009D2568" w:rsidRPr="00171C2D" w:rsidRDefault="000D6BB0">
      <w:pPr>
        <w:jc w:val="both"/>
        <w:rPr>
          <w:rFonts w:ascii="Avenir" w:eastAsia="Avenir" w:hAnsi="Avenir" w:cs="Avenir"/>
          <w:lang w:val="en-GB"/>
        </w:rPr>
      </w:pPr>
      <w:r w:rsidRPr="00171C2D">
        <w:rPr>
          <w:rFonts w:ascii="Avenir" w:eastAsia="Avenir" w:hAnsi="Avenir" w:cs="Avenir"/>
          <w:lang w:val="en-GB"/>
        </w:rPr>
        <w:t>Before turning to introduce this analysis, it is useful at this point to reflect on the utility of the Electoral Commission database when investigating suppliers. The Commission’s database, while far from perfect, represents best practice in disclosure and can serve as a good base to be adopted and implemented beyond the UK. However, it can still be improved. At present, the Electoral Commission allows campaigner to manually enter the name of each supplier, and as a result there can be different iterations of the same company name. For example, in the 2019 spending returns JPI Media appears as ‘JPI MEDIA’, ‘JPI Media Ltd’, ‘JPI Media Publishing’, ‘JPI Media Publishing Limited’ and ‘</w:t>
      </w:r>
      <w:proofErr w:type="spellStart"/>
      <w:r w:rsidRPr="00171C2D">
        <w:rPr>
          <w:rFonts w:ascii="Avenir" w:eastAsia="Avenir" w:hAnsi="Avenir" w:cs="Avenir"/>
          <w:lang w:val="en-GB"/>
        </w:rPr>
        <w:t>JPIMedia</w:t>
      </w:r>
      <w:proofErr w:type="spellEnd"/>
      <w:r w:rsidRPr="00171C2D">
        <w:rPr>
          <w:rFonts w:ascii="Avenir" w:eastAsia="Avenir" w:hAnsi="Avenir" w:cs="Avenir"/>
          <w:lang w:val="en-GB"/>
        </w:rPr>
        <w:t xml:space="preserve"> Publishing Ltd’. The research team coded these entries as referring to the same company, verifying this by checking that the letterhead for invoices from each of these companies was consistent. </w:t>
      </w:r>
      <w:r w:rsidR="00902D14" w:rsidRPr="00171C2D">
        <w:rPr>
          <w:rFonts w:ascii="Avenir" w:eastAsia="Avenir" w:hAnsi="Avenir" w:cs="Avenir"/>
          <w:lang w:val="en-GB"/>
        </w:rPr>
        <w:t>To</w:t>
      </w:r>
      <w:r w:rsidRPr="00171C2D">
        <w:rPr>
          <w:rFonts w:ascii="Avenir" w:eastAsia="Avenir" w:hAnsi="Avenir" w:cs="Avenir"/>
          <w:lang w:val="en-GB"/>
        </w:rPr>
        <w:t xml:space="preserve"> aid analysis, however, it would be beneficial to ensure systematic reporting procedures by establishing unified identities for suppliers. As with other standardized systems, where it</w:t>
      </w:r>
      <w:r w:rsidR="00632E53" w:rsidRPr="00171C2D">
        <w:rPr>
          <w:rFonts w:ascii="Avenir" w:eastAsia="Avenir" w:hAnsi="Avenir" w:cs="Avenir"/>
          <w:lang w:val="en-GB"/>
        </w:rPr>
        <w:t xml:space="preserve"> is </w:t>
      </w:r>
      <w:r w:rsidRPr="00171C2D">
        <w:rPr>
          <w:rFonts w:ascii="Avenir" w:eastAsia="Avenir" w:hAnsi="Avenir" w:cs="Avenir"/>
          <w:lang w:val="en-GB"/>
        </w:rPr>
        <w:t xml:space="preserve">possible to select, for example, an address or a job title from a dropdown list of options, </w:t>
      </w:r>
      <w:r w:rsidR="00632E53" w:rsidRPr="00171C2D">
        <w:rPr>
          <w:rFonts w:ascii="Avenir" w:eastAsia="Avenir" w:hAnsi="Avenir" w:cs="Avenir"/>
          <w:lang w:val="en-GB"/>
        </w:rPr>
        <w:t>verified ‘supplier’ options with details of the address, contact and web presence of each supplier could be created</w:t>
      </w:r>
      <w:r w:rsidRPr="00171C2D">
        <w:rPr>
          <w:rFonts w:ascii="Avenir" w:eastAsia="Avenir" w:hAnsi="Avenir" w:cs="Avenir"/>
          <w:lang w:val="en-GB"/>
        </w:rPr>
        <w:t>. Such a system would not only help to ensure consistent reporting, but could be linked to additional data about suppliers, such as their Companies House entry or website, to aid future research and transparency efforts. Using mechanisms designed under, for example, the My Little Crony database (Hill 2021), the suppliers might also then be connected to any other number of businesses registered by them under Companies House</w:t>
      </w:r>
      <w:r w:rsidR="009D2568" w:rsidRPr="00171C2D">
        <w:rPr>
          <w:rFonts w:ascii="Avenir" w:eastAsia="Avenir" w:hAnsi="Avenir" w:cs="Avenir"/>
          <w:lang w:val="en-GB"/>
        </w:rPr>
        <w:t>.</w:t>
      </w:r>
    </w:p>
    <w:p w14:paraId="12A61145" w14:textId="77777777" w:rsidR="009D2568" w:rsidRPr="00171C2D" w:rsidRDefault="009D2568">
      <w:pPr>
        <w:jc w:val="both"/>
        <w:rPr>
          <w:rFonts w:ascii="Avenir" w:eastAsia="Avenir" w:hAnsi="Avenir" w:cs="Avenir"/>
          <w:lang w:val="en-GB"/>
        </w:rPr>
      </w:pPr>
    </w:p>
    <w:p w14:paraId="40A6DC0F" w14:textId="07F14927" w:rsidR="00B556DE" w:rsidRPr="00171C2D" w:rsidRDefault="000D6BB0">
      <w:pPr>
        <w:jc w:val="both"/>
        <w:rPr>
          <w:rFonts w:ascii="Avenir" w:eastAsia="Avenir" w:hAnsi="Avenir" w:cs="Avenir"/>
          <w:highlight w:val="white"/>
          <w:lang w:val="en-GB"/>
        </w:rPr>
      </w:pPr>
      <w:r w:rsidRPr="00171C2D">
        <w:rPr>
          <w:rFonts w:ascii="Avenir" w:eastAsia="Avenir" w:hAnsi="Avenir" w:cs="Avenir"/>
          <w:highlight w:val="white"/>
          <w:lang w:val="en-GB"/>
        </w:rPr>
        <w:t>Considerations for the UK Electoral Commission:</w:t>
      </w:r>
    </w:p>
    <w:p w14:paraId="5C55006B" w14:textId="77777777" w:rsidR="00B556DE" w:rsidRPr="00171C2D" w:rsidRDefault="000D6BB0">
      <w:pPr>
        <w:numPr>
          <w:ilvl w:val="0"/>
          <w:numId w:val="4"/>
        </w:numPr>
        <w:jc w:val="both"/>
        <w:rPr>
          <w:rFonts w:ascii="Avenir" w:eastAsia="Avenir" w:hAnsi="Avenir" w:cs="Avenir"/>
          <w:lang w:val="en-GB"/>
        </w:rPr>
      </w:pPr>
      <w:r w:rsidRPr="00171C2D">
        <w:rPr>
          <w:rFonts w:ascii="Avenir" w:eastAsia="Avenir" w:hAnsi="Avenir" w:cs="Avenir"/>
          <w:highlight w:val="white"/>
          <w:lang w:val="en-GB"/>
        </w:rPr>
        <w:lastRenderedPageBreak/>
        <w:t>Implement a system of publicly accessible categorized spending reports and invoices, ideally standardized across countries to enable comparability.</w:t>
      </w:r>
    </w:p>
    <w:p w14:paraId="43FDE1F6" w14:textId="77777777" w:rsidR="00B556DE" w:rsidRPr="00171C2D" w:rsidRDefault="000D6BB0">
      <w:pPr>
        <w:numPr>
          <w:ilvl w:val="0"/>
          <w:numId w:val="4"/>
        </w:numPr>
        <w:jc w:val="both"/>
        <w:rPr>
          <w:rFonts w:ascii="Avenir" w:eastAsia="Avenir" w:hAnsi="Avenir" w:cs="Avenir"/>
          <w:highlight w:val="white"/>
          <w:lang w:val="en-GB"/>
        </w:rPr>
      </w:pPr>
      <w:r w:rsidRPr="00171C2D">
        <w:rPr>
          <w:rFonts w:ascii="Avenir" w:eastAsia="Avenir" w:hAnsi="Avenir" w:cs="Avenir"/>
          <w:lang w:val="en-GB"/>
        </w:rPr>
        <w:t xml:space="preserve">Create standardized records of ‘suppliers’ in election campaigns to ensure consistency in reporting and to aid future research. </w:t>
      </w:r>
    </w:p>
    <w:p w14:paraId="7DD27314" w14:textId="77777777" w:rsidR="00B556DE" w:rsidRPr="00171C2D" w:rsidRDefault="000D6BB0">
      <w:pPr>
        <w:numPr>
          <w:ilvl w:val="0"/>
          <w:numId w:val="41"/>
        </w:numPr>
        <w:jc w:val="both"/>
        <w:rPr>
          <w:rFonts w:ascii="Avenir" w:eastAsia="Avenir" w:hAnsi="Avenir" w:cs="Avenir"/>
          <w:lang w:val="en-GB"/>
        </w:rPr>
      </w:pPr>
      <w:r w:rsidRPr="00171C2D">
        <w:rPr>
          <w:rFonts w:ascii="Avenir" w:eastAsia="Avenir" w:hAnsi="Avenir" w:cs="Avenir"/>
          <w:lang w:val="en-GB"/>
        </w:rPr>
        <w:t xml:space="preserve">Extend existing transparency by linking supplier information to other sources of publicly available information (such as, in the UK, Companies House records) and supplier websites to facilitate future research. </w:t>
      </w:r>
      <w:bookmarkStart w:id="3" w:name="_Hlk98170968"/>
      <w:bookmarkEnd w:id="3"/>
    </w:p>
    <w:p w14:paraId="0D95C8DE" w14:textId="77777777" w:rsidR="00B556DE" w:rsidRPr="00171C2D" w:rsidRDefault="00B556DE">
      <w:pPr>
        <w:jc w:val="both"/>
        <w:rPr>
          <w:rFonts w:ascii="Avenir" w:eastAsia="Avenir" w:hAnsi="Avenir" w:cs="Avenir"/>
          <w:lang w:val="en-GB"/>
        </w:rPr>
      </w:pPr>
    </w:p>
    <w:p w14:paraId="4647B734" w14:textId="31972236"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Investigators, election monitors and other CSOs that support transparency and accountability during elections can, and should, still rely on the existing transparency processes hosted by their local and national EMBs. While looking at digital elections especially, there is so much constantly changing in the industry—and in the understanding of technology seen between political parties, the technology companies and the EMBs—that any reports and invoices are a good starting point. CSOs can, in turn, use the introductory information in this report to assess what information might be missing. CSOs that campaign to promote increased transparency and accountability may advise EMBs to make available the information and formats that are used within the UK’s electoral database and include the advice in this report as a starting point for requesting transparency from their national EMBs. </w:t>
      </w:r>
    </w:p>
    <w:p w14:paraId="484C1577" w14:textId="77777777" w:rsidR="00B556DE" w:rsidRPr="00171C2D" w:rsidRDefault="00B556DE">
      <w:pPr>
        <w:jc w:val="both"/>
        <w:rPr>
          <w:rFonts w:ascii="Avenir" w:eastAsia="Avenir" w:hAnsi="Avenir" w:cs="Avenir"/>
          <w:lang w:val="en-GB"/>
        </w:rPr>
      </w:pPr>
    </w:p>
    <w:p w14:paraId="29E04C53" w14:textId="085D6C6F" w:rsidR="00B556DE" w:rsidRPr="00171C2D" w:rsidRDefault="000D6BB0">
      <w:pPr>
        <w:jc w:val="both"/>
        <w:rPr>
          <w:rFonts w:ascii="Avenir" w:eastAsia="Avenir" w:hAnsi="Avenir" w:cs="Avenir"/>
          <w:highlight w:val="white"/>
          <w:lang w:val="en-GB"/>
        </w:rPr>
      </w:pPr>
      <w:r w:rsidRPr="00171C2D">
        <w:rPr>
          <w:rFonts w:ascii="Avenir" w:eastAsia="Avenir" w:hAnsi="Avenir" w:cs="Avenir"/>
          <w:highlight w:val="white"/>
          <w:lang w:val="en-GB"/>
        </w:rPr>
        <w:t>Considerations</w:t>
      </w:r>
      <w:r w:rsidR="00952027" w:rsidRPr="00171C2D">
        <w:rPr>
          <w:rFonts w:ascii="Avenir" w:eastAsia="Avenir" w:hAnsi="Avenir" w:cs="Avenir"/>
          <w:highlight w:val="white"/>
          <w:lang w:val="en-GB"/>
        </w:rPr>
        <w:t xml:space="preserve"> for</w:t>
      </w:r>
      <w:r w:rsidRPr="00171C2D">
        <w:rPr>
          <w:rFonts w:ascii="Avenir" w:eastAsia="Avenir" w:hAnsi="Avenir" w:cs="Avenir"/>
          <w:highlight w:val="white"/>
          <w:lang w:val="en-GB"/>
        </w:rPr>
        <w:t xml:space="preserve"> CSOs include:</w:t>
      </w:r>
      <w:bookmarkStart w:id="4" w:name="_Hlk93587761"/>
      <w:bookmarkEnd w:id="4"/>
    </w:p>
    <w:p w14:paraId="5FBE0679" w14:textId="77777777" w:rsidR="00B556DE" w:rsidRPr="00171C2D" w:rsidRDefault="000D6BB0">
      <w:pPr>
        <w:numPr>
          <w:ilvl w:val="0"/>
          <w:numId w:val="41"/>
        </w:numPr>
        <w:jc w:val="both"/>
        <w:rPr>
          <w:rFonts w:ascii="Avenir" w:eastAsia="Avenir" w:hAnsi="Avenir" w:cs="Avenir"/>
          <w:lang w:val="en-GB"/>
        </w:rPr>
      </w:pPr>
      <w:r w:rsidRPr="00171C2D">
        <w:rPr>
          <w:rFonts w:ascii="Avenir" w:eastAsia="Avenir" w:hAnsi="Avenir" w:cs="Avenir"/>
          <w:lang w:val="en-GB"/>
        </w:rPr>
        <w:t>Utilize existing transparency returns made available by government and EMBs to scrutinize electoral practices, highlight concerns and make complaints to EMBs.</w:t>
      </w:r>
    </w:p>
    <w:p w14:paraId="180B31D1" w14:textId="77777777" w:rsidR="00B556DE" w:rsidRPr="00171C2D" w:rsidRDefault="000D6BB0">
      <w:pPr>
        <w:numPr>
          <w:ilvl w:val="0"/>
          <w:numId w:val="41"/>
        </w:numPr>
        <w:jc w:val="both"/>
        <w:rPr>
          <w:rFonts w:ascii="Avenir" w:eastAsia="Avenir" w:hAnsi="Avenir" w:cs="Avenir"/>
          <w:lang w:val="en-GB"/>
        </w:rPr>
      </w:pPr>
      <w:r w:rsidRPr="00171C2D">
        <w:rPr>
          <w:rFonts w:ascii="Avenir" w:eastAsia="Avenir" w:hAnsi="Avenir" w:cs="Avenir"/>
          <w:lang w:val="en-GB"/>
        </w:rPr>
        <w:t>When campaigning to promote increased transparency, catalogue the types of work that suppliers perform by studying invoices and, where existing declaration categories are seen to inadequately capture campaign activity, CSOs should press for new categories to be adopted as standard.</w:t>
      </w:r>
    </w:p>
    <w:p w14:paraId="0082DAF3" w14:textId="263F7242" w:rsidR="00B556DE" w:rsidRPr="00171C2D" w:rsidRDefault="000D6BB0" w:rsidP="009D2568">
      <w:pPr>
        <w:numPr>
          <w:ilvl w:val="0"/>
          <w:numId w:val="41"/>
        </w:numPr>
        <w:jc w:val="both"/>
        <w:rPr>
          <w:rFonts w:ascii="Avenir" w:eastAsia="Avenir" w:hAnsi="Avenir" w:cs="Avenir"/>
          <w:lang w:val="en-GB"/>
        </w:rPr>
      </w:pPr>
      <w:r w:rsidRPr="00171C2D">
        <w:rPr>
          <w:rFonts w:ascii="Avenir" w:eastAsia="Avenir" w:hAnsi="Avenir" w:cs="Avenir"/>
          <w:lang w:val="en-GB"/>
        </w:rPr>
        <w:t xml:space="preserve">Monitor the practices of monopoly suppliers to ensure that pricing and access are not altered in ways that prevent the use of </w:t>
      </w:r>
      <w:r w:rsidR="009D2568" w:rsidRPr="00171C2D">
        <w:rPr>
          <w:rFonts w:ascii="Avenir" w:eastAsia="Avenir" w:hAnsi="Avenir" w:cs="Avenir"/>
          <w:lang w:val="en-GB"/>
        </w:rPr>
        <w:t>services and</w:t>
      </w:r>
      <w:r w:rsidRPr="00171C2D">
        <w:rPr>
          <w:rFonts w:ascii="Avenir" w:eastAsia="Avenir" w:hAnsi="Avenir" w:cs="Avenir"/>
          <w:lang w:val="en-GB"/>
        </w:rPr>
        <w:t xml:space="preserve"> raise concerns with </w:t>
      </w:r>
      <w:r w:rsidR="00F933F9" w:rsidRPr="00171C2D">
        <w:rPr>
          <w:rFonts w:ascii="Avenir" w:eastAsia="Avenir" w:hAnsi="Avenir" w:cs="Avenir"/>
          <w:lang w:val="en-GB"/>
        </w:rPr>
        <w:t>EMBs</w:t>
      </w:r>
      <w:r w:rsidRPr="00171C2D">
        <w:rPr>
          <w:rFonts w:ascii="Avenir" w:eastAsia="Avenir" w:hAnsi="Avenir" w:cs="Avenir"/>
          <w:lang w:val="en-GB"/>
        </w:rPr>
        <w:t xml:space="preserve">. </w:t>
      </w:r>
    </w:p>
    <w:p w14:paraId="6B15F248" w14:textId="77777777" w:rsidR="00B556DE" w:rsidRPr="00171C2D" w:rsidRDefault="00B556DE">
      <w:pPr>
        <w:jc w:val="both"/>
        <w:rPr>
          <w:rFonts w:ascii="Avenir" w:eastAsia="Avenir" w:hAnsi="Avenir" w:cs="Avenir"/>
          <w:b/>
          <w:u w:val="single"/>
          <w:lang w:val="en-GB"/>
        </w:rPr>
      </w:pPr>
      <w:bookmarkStart w:id="5" w:name="_Hlk98171007"/>
      <w:bookmarkEnd w:id="5"/>
    </w:p>
    <w:tbl>
      <w:tblPr>
        <w:tblW w:w="9780" w:type="dxa"/>
        <w:tblCellMar>
          <w:top w:w="100" w:type="dxa"/>
          <w:left w:w="100" w:type="dxa"/>
          <w:bottom w:w="100" w:type="dxa"/>
          <w:right w:w="100" w:type="dxa"/>
        </w:tblCellMar>
        <w:tblLook w:val="0600" w:firstRow="0" w:lastRow="0" w:firstColumn="0" w:lastColumn="0" w:noHBand="1" w:noVBand="1"/>
      </w:tblPr>
      <w:tblGrid>
        <w:gridCol w:w="9780"/>
      </w:tblGrid>
      <w:tr w:rsidR="00171C2D" w:rsidRPr="00171C2D" w14:paraId="5C8141BF" w14:textId="77777777">
        <w:tc>
          <w:tcPr>
            <w:tcW w:w="9780" w:type="dxa"/>
            <w:tcBorders>
              <w:top w:val="single" w:sz="8" w:space="0" w:color="000000"/>
              <w:left w:val="single" w:sz="8" w:space="0" w:color="000000"/>
              <w:bottom w:val="single" w:sz="8" w:space="0" w:color="000000"/>
              <w:right w:val="single" w:sz="8" w:space="0" w:color="000000"/>
            </w:tcBorders>
            <w:shd w:val="clear" w:color="auto" w:fill="auto"/>
          </w:tcPr>
          <w:p w14:paraId="43FC9231" w14:textId="77777777" w:rsidR="00B556DE" w:rsidRPr="007E2213" w:rsidRDefault="000D6BB0">
            <w:pPr>
              <w:widowControl w:val="0"/>
              <w:spacing w:line="240" w:lineRule="auto"/>
              <w:rPr>
                <w:rFonts w:ascii="Avenir" w:eastAsia="Avenir" w:hAnsi="Avenir" w:cs="Avenir"/>
                <w:b/>
                <w:lang w:val="en-GB"/>
              </w:rPr>
            </w:pPr>
            <w:r w:rsidRPr="007E2213">
              <w:rPr>
                <w:rFonts w:ascii="Avenir" w:eastAsia="Avenir" w:hAnsi="Avenir" w:cs="Avenir"/>
                <w:b/>
                <w:lang w:val="en-GB"/>
              </w:rPr>
              <w:t>Section summary</w:t>
            </w:r>
          </w:p>
          <w:p w14:paraId="4B813A24" w14:textId="77777777" w:rsidR="00B556DE" w:rsidRPr="007E2213" w:rsidRDefault="00B556DE">
            <w:pPr>
              <w:widowControl w:val="0"/>
              <w:spacing w:line="240" w:lineRule="auto"/>
              <w:rPr>
                <w:rFonts w:ascii="Avenir" w:eastAsia="Avenir" w:hAnsi="Avenir" w:cs="Avenir"/>
                <w:bCs/>
                <w:u w:val="single"/>
                <w:lang w:val="en-GB"/>
              </w:rPr>
            </w:pPr>
          </w:p>
          <w:p w14:paraId="37A056D6" w14:textId="36763A2B" w:rsidR="00B556DE" w:rsidRPr="007E2213" w:rsidRDefault="000D6BB0" w:rsidP="00953F5D">
            <w:pPr>
              <w:widowControl w:val="0"/>
              <w:numPr>
                <w:ilvl w:val="0"/>
                <w:numId w:val="16"/>
              </w:numPr>
              <w:spacing w:line="240" w:lineRule="auto"/>
              <w:rPr>
                <w:rFonts w:ascii="Avenir" w:eastAsia="Avenir" w:hAnsi="Avenir" w:cs="Avenir"/>
                <w:bCs/>
                <w:lang w:val="en-GB"/>
              </w:rPr>
            </w:pPr>
            <w:r w:rsidRPr="007E2213">
              <w:rPr>
                <w:rFonts w:ascii="Avenir" w:eastAsia="Avenir" w:hAnsi="Avenir" w:cs="Avenir"/>
                <w:bCs/>
                <w:lang w:val="en-GB"/>
              </w:rPr>
              <w:t>Less than 5 per</w:t>
            </w:r>
            <w:r w:rsidR="007E2213" w:rsidRPr="007E2213">
              <w:rPr>
                <w:rFonts w:ascii="Avenir" w:eastAsia="Avenir" w:hAnsi="Avenir" w:cs="Avenir"/>
                <w:bCs/>
                <w:lang w:val="en-GB"/>
              </w:rPr>
              <w:t xml:space="preserve"> </w:t>
            </w:r>
            <w:r w:rsidRPr="007E2213">
              <w:rPr>
                <w:rFonts w:ascii="Avenir" w:eastAsia="Avenir" w:hAnsi="Avenir" w:cs="Avenir"/>
                <w:bCs/>
                <w:lang w:val="en-GB"/>
              </w:rPr>
              <w:t>cent of suppliers work for more than one party, but these are disproportionately more likely to be those that command the highest fees from the parties they serve.</w:t>
            </w:r>
          </w:p>
          <w:p w14:paraId="1D302ED4" w14:textId="77777777" w:rsidR="00B556DE" w:rsidRPr="00171C2D" w:rsidRDefault="000D6BB0" w:rsidP="00953F5D">
            <w:pPr>
              <w:widowControl w:val="0"/>
              <w:numPr>
                <w:ilvl w:val="0"/>
                <w:numId w:val="16"/>
              </w:numPr>
              <w:spacing w:line="240" w:lineRule="auto"/>
              <w:rPr>
                <w:rFonts w:ascii="Avenir" w:eastAsia="Avenir" w:hAnsi="Avenir" w:cs="Avenir"/>
                <w:b/>
                <w:lang w:val="en-GB"/>
              </w:rPr>
            </w:pPr>
            <w:r w:rsidRPr="007E2213">
              <w:rPr>
                <w:rFonts w:ascii="Avenir" w:eastAsia="Avenir" w:hAnsi="Avenir" w:cs="Avenir"/>
                <w:bCs/>
                <w:lang w:val="en-GB"/>
              </w:rPr>
              <w:t>A small number of suppliers appear to dominate the market when it comes to the service they provide. This is particularly true of Facebook, which features among the highest-spend suppliers for each of the main parties (and were hired by 12 separate parties for the 2019 General Election).</w:t>
            </w:r>
          </w:p>
        </w:tc>
      </w:tr>
    </w:tbl>
    <w:p w14:paraId="314761B5" w14:textId="77777777" w:rsidR="00B556DE" w:rsidRPr="00171C2D" w:rsidRDefault="000D6BB0">
      <w:pPr>
        <w:pStyle w:val="Heading3"/>
        <w:numPr>
          <w:ilvl w:val="1"/>
          <w:numId w:val="59"/>
        </w:numPr>
        <w:rPr>
          <w:color w:val="auto"/>
          <w:lang w:val="en-GB"/>
        </w:rPr>
      </w:pPr>
      <w:r w:rsidRPr="00171C2D">
        <w:rPr>
          <w:color w:val="auto"/>
          <w:lang w:val="en-GB"/>
        </w:rPr>
        <w:t>Insights from Electoral Commission invoices</w:t>
      </w:r>
    </w:p>
    <w:p w14:paraId="1A7C182D" w14:textId="10518195"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The analysis by the research team demonstrates </w:t>
      </w:r>
      <w:r w:rsidR="00292FA2" w:rsidRPr="00171C2D">
        <w:rPr>
          <w:rFonts w:ascii="Avenir" w:eastAsia="Avenir" w:hAnsi="Avenir" w:cs="Avenir"/>
          <w:lang w:val="en-GB"/>
        </w:rPr>
        <w:t>several</w:t>
      </w:r>
      <w:r w:rsidRPr="00171C2D">
        <w:rPr>
          <w:rFonts w:ascii="Avenir" w:eastAsia="Avenir" w:hAnsi="Avenir" w:cs="Avenir"/>
          <w:lang w:val="en-GB"/>
        </w:rPr>
        <w:t xml:space="preserve"> areas for improvement in the existing system of invoice declaration. For example, under Electoral Commission rules, invoices need to be provided for all spending over </w:t>
      </w:r>
      <w:r w:rsidR="009014F3">
        <w:rPr>
          <w:rFonts w:ascii="Avenir" w:eastAsia="Avenir" w:hAnsi="Avenir" w:cs="Avenir"/>
          <w:lang w:val="en-GB"/>
        </w:rPr>
        <w:t>GBP </w:t>
      </w:r>
      <w:r w:rsidRPr="00171C2D">
        <w:rPr>
          <w:rFonts w:ascii="Avenir" w:eastAsia="Avenir" w:hAnsi="Avenir" w:cs="Avenir"/>
          <w:lang w:val="en-GB"/>
        </w:rPr>
        <w:t xml:space="preserve">200, and yet the research team found multiple instances in which invoices were missing, wrong or unclear. </w:t>
      </w:r>
    </w:p>
    <w:p w14:paraId="25B82B66" w14:textId="77777777" w:rsidR="00B556DE" w:rsidRPr="00171C2D" w:rsidRDefault="00B556DE">
      <w:pPr>
        <w:jc w:val="both"/>
        <w:rPr>
          <w:rFonts w:ascii="Avenir" w:eastAsia="Avenir" w:hAnsi="Avenir" w:cs="Avenir"/>
          <w:lang w:val="en-GB"/>
        </w:rPr>
      </w:pPr>
    </w:p>
    <w:p w14:paraId="38BEE114" w14:textId="6197ABCB" w:rsidR="00B556DE" w:rsidRPr="00171C2D" w:rsidRDefault="000D6BB0">
      <w:pPr>
        <w:jc w:val="both"/>
        <w:rPr>
          <w:rFonts w:ascii="Avenir" w:eastAsia="Avenir" w:hAnsi="Avenir" w:cs="Avenir"/>
          <w:lang w:val="en-GB"/>
        </w:rPr>
      </w:pPr>
      <w:r w:rsidRPr="00171C2D">
        <w:rPr>
          <w:rFonts w:ascii="Avenir" w:eastAsia="Avenir" w:hAnsi="Avenir" w:cs="Avenir"/>
          <w:lang w:val="en-GB"/>
        </w:rPr>
        <w:t>At the most practical level, invoices submitted by 40.6 per cent—or just over</w:t>
      </w:r>
      <w:r w:rsidRPr="00171C2D">
        <w:rPr>
          <w:rFonts w:ascii="Avenir" w:eastAsia="Avenir" w:hAnsi="Avenir" w:cs="Avenir"/>
          <w:b/>
          <w:bCs/>
          <w:lang w:val="en-GB"/>
        </w:rPr>
        <w:t xml:space="preserve"> two in five</w:t>
      </w:r>
      <w:r w:rsidRPr="00171C2D">
        <w:rPr>
          <w:rFonts w:ascii="Avenir" w:eastAsia="Avenir" w:hAnsi="Avenir" w:cs="Avenir"/>
          <w:lang w:val="en-GB"/>
        </w:rPr>
        <w:t>—</w:t>
      </w:r>
      <w:r w:rsidR="00A71104" w:rsidRPr="00171C2D">
        <w:rPr>
          <w:rFonts w:ascii="Avenir" w:eastAsia="Avenir" w:hAnsi="Avenir" w:cs="Avenir"/>
          <w:lang w:val="en-GB"/>
        </w:rPr>
        <w:t xml:space="preserve">of </w:t>
      </w:r>
      <w:r w:rsidRPr="00171C2D">
        <w:rPr>
          <w:rFonts w:ascii="Avenir" w:eastAsia="Avenir" w:hAnsi="Avenir" w:cs="Avenir"/>
          <w:lang w:val="en-GB"/>
        </w:rPr>
        <w:t>suppliers were coded in some way</w:t>
      </w:r>
      <w:r w:rsidRPr="00171C2D">
        <w:rPr>
          <w:rFonts w:ascii="Avenir" w:eastAsia="Avenir" w:hAnsi="Avenir" w:cs="Avenir"/>
          <w:b/>
          <w:bCs/>
          <w:lang w:val="en-GB"/>
        </w:rPr>
        <w:t xml:space="preserve"> </w:t>
      </w:r>
      <w:r w:rsidRPr="00171C2D">
        <w:rPr>
          <w:rFonts w:ascii="Avenir" w:eastAsia="Avenir" w:hAnsi="Avenir" w:cs="Avenir"/>
          <w:lang w:val="en-GB"/>
        </w:rPr>
        <w:t>as ‘completely unclear’ because for at least one invoice it was not possible to determine what service had been provided.</w:t>
      </w:r>
      <w:r w:rsidRPr="00171C2D">
        <w:rPr>
          <w:rStyle w:val="FootnoteAnchor"/>
          <w:rFonts w:ascii="Avenir" w:eastAsia="Avenir" w:hAnsi="Avenir" w:cs="Avenir"/>
          <w:lang w:val="en-GB"/>
        </w:rPr>
        <w:footnoteReference w:id="10"/>
      </w:r>
      <w:r w:rsidRPr="00171C2D">
        <w:rPr>
          <w:rFonts w:ascii="Avenir" w:eastAsia="Avenir" w:hAnsi="Avenir" w:cs="Avenir"/>
          <w:lang w:val="en-GB"/>
        </w:rPr>
        <w:t xml:space="preserve"> This could occur for </w:t>
      </w:r>
      <w:r w:rsidR="00CB31BE" w:rsidRPr="00171C2D">
        <w:rPr>
          <w:rFonts w:ascii="Avenir" w:eastAsia="Avenir" w:hAnsi="Avenir" w:cs="Avenir"/>
          <w:lang w:val="en-GB"/>
        </w:rPr>
        <w:t>several</w:t>
      </w:r>
      <w:r w:rsidRPr="00171C2D">
        <w:rPr>
          <w:rFonts w:ascii="Avenir" w:eastAsia="Avenir" w:hAnsi="Avenir" w:cs="Avenir"/>
          <w:lang w:val="en-GB"/>
        </w:rPr>
        <w:t xml:space="preserve"> reasons (see Figure 4). In </w:t>
      </w:r>
      <w:r w:rsidR="00CB31BE" w:rsidRPr="00171C2D">
        <w:rPr>
          <w:rFonts w:ascii="Avenir" w:eastAsia="Avenir" w:hAnsi="Avenir" w:cs="Avenir"/>
          <w:lang w:val="en-GB"/>
        </w:rPr>
        <w:t>most</w:t>
      </w:r>
      <w:r w:rsidRPr="00171C2D">
        <w:rPr>
          <w:rFonts w:ascii="Avenir" w:eastAsia="Avenir" w:hAnsi="Avenir" w:cs="Avenir"/>
          <w:lang w:val="en-GB"/>
        </w:rPr>
        <w:t xml:space="preserve"> instances, coloured in (two shades of) blue in Figure 4, invoices were not provided. There were 219 cases where spending was reported by Conservative Party Constituency Associations (CAs) (</w:t>
      </w:r>
      <w:proofErr w:type="gramStart"/>
      <w:r w:rsidRPr="00171C2D">
        <w:rPr>
          <w:rFonts w:ascii="Avenir" w:eastAsia="Avenir" w:hAnsi="Avenir" w:cs="Avenir"/>
          <w:lang w:val="en-GB"/>
        </w:rPr>
        <w:t>e.g.</w:t>
      </w:r>
      <w:proofErr w:type="gramEnd"/>
      <w:r w:rsidRPr="00171C2D">
        <w:rPr>
          <w:rFonts w:ascii="Avenir" w:eastAsia="Avenir" w:hAnsi="Avenir" w:cs="Avenir"/>
          <w:lang w:val="en-GB"/>
        </w:rPr>
        <w:t xml:space="preserve"> Reading West CA</w:t>
      </w:r>
      <w:r w:rsidRPr="00171C2D">
        <w:rPr>
          <w:rStyle w:val="FootnoteAnchor"/>
          <w:rFonts w:ascii="Avenir" w:eastAsia="Avenir" w:hAnsi="Avenir" w:cs="Avenir"/>
          <w:lang w:val="en-GB"/>
        </w:rPr>
        <w:footnoteReference w:id="11"/>
      </w:r>
      <w:r w:rsidRPr="00171C2D">
        <w:rPr>
          <w:rFonts w:ascii="Avenir" w:eastAsia="Avenir" w:hAnsi="Avenir" w:cs="Avenir"/>
          <w:lang w:val="en-GB"/>
        </w:rPr>
        <w:t>)</w:t>
      </w:r>
      <w:r w:rsidR="004A2A19" w:rsidRPr="00171C2D">
        <w:rPr>
          <w:rFonts w:ascii="Avenir" w:eastAsia="Avenir" w:hAnsi="Avenir" w:cs="Avenir"/>
          <w:lang w:val="en-GB"/>
        </w:rPr>
        <w:t>,</w:t>
      </w:r>
      <w:r w:rsidRPr="00171C2D">
        <w:rPr>
          <w:rFonts w:ascii="Avenir" w:eastAsia="Avenir" w:hAnsi="Avenir" w:cs="Avenir"/>
          <w:lang w:val="en-GB"/>
        </w:rPr>
        <w:t xml:space="preserve"> but no invoices were provided, even if the spend was over </w:t>
      </w:r>
      <w:r w:rsidR="009014F3">
        <w:rPr>
          <w:rFonts w:ascii="Avenir" w:eastAsia="Avenir" w:hAnsi="Avenir" w:cs="Avenir"/>
          <w:lang w:val="en-GB"/>
        </w:rPr>
        <w:t>GBP </w:t>
      </w:r>
      <w:r w:rsidRPr="00171C2D">
        <w:rPr>
          <w:rFonts w:ascii="Avenir" w:eastAsia="Avenir" w:hAnsi="Avenir" w:cs="Avenir"/>
          <w:lang w:val="en-GB"/>
        </w:rPr>
        <w:t xml:space="preserve">200. In addition, there were 50 other suppliers (who were not Conservative Party CAs) where spending was over </w:t>
      </w:r>
      <w:r w:rsidR="009014F3">
        <w:rPr>
          <w:rFonts w:ascii="Avenir" w:eastAsia="Avenir" w:hAnsi="Avenir" w:cs="Avenir"/>
          <w:lang w:val="en-GB"/>
        </w:rPr>
        <w:t>GBP </w:t>
      </w:r>
      <w:r w:rsidRPr="00171C2D">
        <w:rPr>
          <w:rFonts w:ascii="Avenir" w:eastAsia="Avenir" w:hAnsi="Avenir" w:cs="Avenir"/>
          <w:lang w:val="en-GB"/>
        </w:rPr>
        <w:t>200, but an invoice was not provided). This might happen for all the invoices provided by a particular supplier,</w:t>
      </w:r>
      <w:r w:rsidR="006B72DB" w:rsidRPr="00171C2D">
        <w:rPr>
          <w:rFonts w:ascii="Avenir" w:eastAsia="Avenir" w:hAnsi="Avenir" w:cs="Avenir"/>
          <w:lang w:val="en-GB"/>
        </w:rPr>
        <w:t xml:space="preserve"> </w:t>
      </w:r>
      <w:r w:rsidRPr="00171C2D">
        <w:rPr>
          <w:rFonts w:ascii="Avenir" w:eastAsia="Avenir" w:hAnsi="Avenir" w:cs="Avenir"/>
          <w:lang w:val="en-GB"/>
        </w:rPr>
        <w:t xml:space="preserve">or simply for one invoice of many which contained more detail (in which instance, the research team coded the available information). </w:t>
      </w:r>
    </w:p>
    <w:p w14:paraId="0DCD9968" w14:textId="77777777" w:rsidR="00B556DE" w:rsidRPr="00171C2D" w:rsidRDefault="00B556DE">
      <w:pPr>
        <w:jc w:val="both"/>
        <w:rPr>
          <w:rFonts w:ascii="Avenir" w:eastAsia="Avenir" w:hAnsi="Avenir" w:cs="Avenir"/>
          <w:lang w:val="en-GB"/>
        </w:rPr>
      </w:pPr>
    </w:p>
    <w:p w14:paraId="2382D5CB" w14:textId="16E603B7"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There were 77 suppliers </w:t>
      </w:r>
      <w:r w:rsidR="00556C1B" w:rsidRPr="00171C2D">
        <w:rPr>
          <w:rFonts w:ascii="Avenir" w:eastAsia="Avenir" w:hAnsi="Avenir" w:cs="Avenir"/>
          <w:lang w:val="en-GB"/>
        </w:rPr>
        <w:t xml:space="preserve">that </w:t>
      </w:r>
      <w:r w:rsidRPr="00171C2D">
        <w:rPr>
          <w:rFonts w:ascii="Avenir" w:eastAsia="Avenir" w:hAnsi="Avenir" w:cs="Avenir"/>
          <w:lang w:val="en-GB"/>
        </w:rPr>
        <w:t>provided multiple invoices for their work, but at least one</w:t>
      </w:r>
      <w:r w:rsidR="00556C1B" w:rsidRPr="00171C2D">
        <w:rPr>
          <w:rFonts w:ascii="Avenir" w:eastAsia="Avenir" w:hAnsi="Avenir" w:cs="Avenir"/>
          <w:lang w:val="en-GB"/>
        </w:rPr>
        <w:t xml:space="preserve"> (but sometimes all)</w:t>
      </w:r>
      <w:r w:rsidRPr="00171C2D">
        <w:rPr>
          <w:rFonts w:ascii="Avenir" w:eastAsia="Avenir" w:hAnsi="Avenir" w:cs="Avenir"/>
          <w:lang w:val="en-GB"/>
        </w:rPr>
        <w:t xml:space="preserve"> submission was blank (and hence could not be coded).</w:t>
      </w:r>
      <w:r w:rsidR="00556C1B" w:rsidRPr="00171C2D">
        <w:rPr>
          <w:rStyle w:val="FootnoteAnchor"/>
          <w:rFonts w:ascii="Avenir" w:eastAsia="Avenir" w:hAnsi="Avenir" w:cs="Avenir"/>
          <w:lang w:val="en-GB"/>
        </w:rPr>
        <w:t xml:space="preserve"> </w:t>
      </w:r>
      <w:r w:rsidR="00556C1B" w:rsidRPr="00171C2D">
        <w:rPr>
          <w:rStyle w:val="FootnoteAnchor"/>
          <w:rFonts w:ascii="Avenir" w:eastAsia="Avenir" w:hAnsi="Avenir" w:cs="Avenir"/>
          <w:lang w:val="en-GB"/>
        </w:rPr>
        <w:footnoteReference w:id="12"/>
      </w:r>
      <w:r w:rsidR="00556C1B" w:rsidRPr="00171C2D">
        <w:rPr>
          <w:rFonts w:ascii="Avenir" w:eastAsia="Avenir" w:hAnsi="Avenir" w:cs="Avenir"/>
          <w:lang w:val="en-GB"/>
        </w:rPr>
        <w:t xml:space="preserve"> </w:t>
      </w:r>
      <w:r w:rsidRPr="00171C2D">
        <w:rPr>
          <w:rFonts w:ascii="Avenir" w:eastAsia="Avenir" w:hAnsi="Avenir" w:cs="Avenir"/>
          <w:lang w:val="en-GB"/>
        </w:rPr>
        <w:t xml:space="preserve">There were also 45 suppliers where at least one item of declared spending was under </w:t>
      </w:r>
      <w:r w:rsidR="009014F3">
        <w:rPr>
          <w:rFonts w:ascii="Avenir" w:eastAsia="Avenir" w:hAnsi="Avenir" w:cs="Avenir"/>
          <w:lang w:val="en-GB"/>
        </w:rPr>
        <w:t>GBP </w:t>
      </w:r>
      <w:r w:rsidRPr="00171C2D">
        <w:rPr>
          <w:rFonts w:ascii="Avenir" w:eastAsia="Avenir" w:hAnsi="Avenir" w:cs="Avenir"/>
          <w:lang w:val="en-GB"/>
        </w:rPr>
        <w:t>200, meaning that an invoice didn’t need to be provided and hence activity couldn’t be coded. There were also 50 suppliers that had provided invoices that were either blurred or distorted (Invoice 64590</w:t>
      </w:r>
      <w:r w:rsidRPr="00171C2D">
        <w:rPr>
          <w:rStyle w:val="FootnoteAnchor"/>
          <w:rFonts w:ascii="Avenir" w:eastAsia="Avenir" w:hAnsi="Avenir" w:cs="Avenir"/>
          <w:lang w:val="en-GB"/>
        </w:rPr>
        <w:footnoteReference w:id="13"/>
      </w:r>
      <w:r w:rsidRPr="00171C2D">
        <w:rPr>
          <w:rFonts w:ascii="Avenir" w:eastAsia="Avenir" w:hAnsi="Avenir" w:cs="Avenir"/>
          <w:lang w:val="en-GB"/>
        </w:rPr>
        <w:t>; Invoice 68079</w:t>
      </w:r>
      <w:r w:rsidRPr="00171C2D">
        <w:rPr>
          <w:rStyle w:val="FootnoteAnchor"/>
          <w:rFonts w:ascii="Avenir" w:eastAsia="Avenir" w:hAnsi="Avenir" w:cs="Avenir"/>
          <w:lang w:val="en-GB"/>
        </w:rPr>
        <w:footnoteReference w:id="14"/>
      </w:r>
      <w:r w:rsidRPr="00171C2D">
        <w:rPr>
          <w:rFonts w:ascii="Avenir" w:eastAsia="Avenir" w:hAnsi="Avenir" w:cs="Avenir"/>
          <w:lang w:val="en-GB"/>
        </w:rPr>
        <w:t>), that contained obscured information (Invoice 71362</w:t>
      </w:r>
      <w:r w:rsidRPr="00171C2D">
        <w:rPr>
          <w:rStyle w:val="FootnoteAnchor"/>
          <w:rFonts w:ascii="Avenir" w:eastAsia="Avenir" w:hAnsi="Avenir" w:cs="Avenir"/>
          <w:lang w:val="en-GB"/>
        </w:rPr>
        <w:footnoteReference w:id="15"/>
      </w:r>
      <w:r w:rsidRPr="00171C2D">
        <w:rPr>
          <w:rFonts w:ascii="Avenir" w:eastAsia="Avenir" w:hAnsi="Avenir" w:cs="Avenir"/>
          <w:lang w:val="en-GB"/>
        </w:rPr>
        <w:t xml:space="preserve">) or that did not provide a clear, </w:t>
      </w:r>
      <w:r w:rsidR="00CB31BE" w:rsidRPr="00171C2D">
        <w:rPr>
          <w:rFonts w:ascii="Avenir" w:eastAsia="Avenir" w:hAnsi="Avenir" w:cs="Avenir"/>
          <w:lang w:val="en-GB"/>
        </w:rPr>
        <w:t>informative,</w:t>
      </w:r>
      <w:r w:rsidRPr="00171C2D">
        <w:rPr>
          <w:rFonts w:ascii="Avenir" w:eastAsia="Avenir" w:hAnsi="Avenir" w:cs="Avenir"/>
          <w:lang w:val="en-GB"/>
        </w:rPr>
        <w:t xml:space="preserve"> or precise description of the work conducted (Invoice 67188</w:t>
      </w:r>
      <w:r w:rsidRPr="00171C2D">
        <w:rPr>
          <w:rStyle w:val="FootnoteAnchor"/>
          <w:rFonts w:ascii="Avenir" w:eastAsia="Avenir" w:hAnsi="Avenir" w:cs="Avenir"/>
          <w:lang w:val="en-GB"/>
        </w:rPr>
        <w:footnoteReference w:id="16"/>
      </w:r>
      <w:r w:rsidRPr="00171C2D">
        <w:rPr>
          <w:rFonts w:ascii="Avenir" w:eastAsia="Avenir" w:hAnsi="Avenir" w:cs="Avenir"/>
          <w:lang w:val="en-GB"/>
        </w:rPr>
        <w:t>; Invoice 68444</w:t>
      </w:r>
      <w:r w:rsidRPr="00171C2D">
        <w:rPr>
          <w:rStyle w:val="FootnoteAnchor"/>
          <w:rFonts w:ascii="Avenir" w:eastAsia="Avenir" w:hAnsi="Avenir" w:cs="Avenir"/>
          <w:lang w:val="en-GB"/>
        </w:rPr>
        <w:footnoteReference w:id="17"/>
      </w:r>
      <w:r w:rsidRPr="00171C2D">
        <w:rPr>
          <w:rFonts w:ascii="Avenir" w:eastAsia="Avenir" w:hAnsi="Avenir" w:cs="Avenir"/>
          <w:lang w:val="en-GB"/>
        </w:rPr>
        <w:t>; Invoice 68473</w:t>
      </w:r>
      <w:r w:rsidRPr="00171C2D">
        <w:rPr>
          <w:rStyle w:val="FootnoteAnchor"/>
          <w:rFonts w:ascii="Avenir" w:eastAsia="Avenir" w:hAnsi="Avenir" w:cs="Avenir"/>
          <w:lang w:val="en-GB"/>
        </w:rPr>
        <w:footnoteReference w:id="18"/>
      </w:r>
      <w:r w:rsidRPr="00171C2D">
        <w:rPr>
          <w:rFonts w:ascii="Avenir" w:eastAsia="Avenir" w:hAnsi="Avenir" w:cs="Avenir"/>
          <w:lang w:val="en-GB"/>
        </w:rPr>
        <w:t>; Invoice 65018</w:t>
      </w:r>
      <w:r w:rsidRPr="00171C2D">
        <w:rPr>
          <w:rStyle w:val="FootnoteAnchor"/>
          <w:rFonts w:ascii="Avenir" w:eastAsia="Avenir" w:hAnsi="Avenir" w:cs="Avenir"/>
          <w:lang w:val="en-GB"/>
        </w:rPr>
        <w:footnoteReference w:id="19"/>
      </w:r>
      <w:r w:rsidRPr="00171C2D">
        <w:rPr>
          <w:rFonts w:ascii="Avenir" w:eastAsia="Avenir" w:hAnsi="Avenir" w:cs="Avenir"/>
          <w:lang w:val="en-GB"/>
        </w:rPr>
        <w:t>; Invoice 65307</w:t>
      </w:r>
      <w:r w:rsidRPr="00171C2D">
        <w:rPr>
          <w:rStyle w:val="FootnoteAnchor"/>
          <w:rFonts w:ascii="Avenir" w:eastAsia="Avenir" w:hAnsi="Avenir" w:cs="Avenir"/>
          <w:lang w:val="en-GB"/>
        </w:rPr>
        <w:footnoteReference w:id="20"/>
      </w:r>
      <w:r w:rsidRPr="00171C2D">
        <w:rPr>
          <w:rFonts w:ascii="Avenir" w:eastAsia="Avenir" w:hAnsi="Avenir" w:cs="Avenir"/>
          <w:lang w:val="en-GB"/>
        </w:rPr>
        <w:t xml:space="preserve">). </w:t>
      </w:r>
    </w:p>
    <w:p w14:paraId="6D508A43" w14:textId="77777777" w:rsidR="00B556DE" w:rsidRPr="00171C2D" w:rsidRDefault="00B556DE">
      <w:pPr>
        <w:jc w:val="both"/>
        <w:rPr>
          <w:rFonts w:ascii="Avenir" w:eastAsia="Avenir" w:hAnsi="Avenir" w:cs="Avenir"/>
          <w:lang w:val="en-GB"/>
        </w:rPr>
      </w:pPr>
    </w:p>
    <w:p w14:paraId="45D50B0D" w14:textId="756C2E17"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Finally, there were instances among just 10 suppliers where either the wrong invoice had been submitted or, more likely, the wrong invoice had been uploaded to the Electoral Commission database </w:t>
      </w:r>
      <w:r w:rsidR="00CB31BE" w:rsidRPr="00171C2D">
        <w:rPr>
          <w:rFonts w:ascii="Avenir" w:eastAsia="Avenir" w:hAnsi="Avenir" w:cs="Avenir"/>
          <w:lang w:val="en-GB"/>
        </w:rPr>
        <w:t>because of</w:t>
      </w:r>
      <w:r w:rsidRPr="00171C2D">
        <w:rPr>
          <w:rFonts w:ascii="Avenir" w:eastAsia="Avenir" w:hAnsi="Avenir" w:cs="Avenir"/>
          <w:lang w:val="en-GB"/>
        </w:rPr>
        <w:t xml:space="preserve"> human error. There were, accordingly, </w:t>
      </w:r>
      <w:r w:rsidR="00CB31BE" w:rsidRPr="00171C2D">
        <w:rPr>
          <w:rFonts w:ascii="Avenir" w:eastAsia="Avenir" w:hAnsi="Avenir" w:cs="Avenir"/>
          <w:lang w:val="en-GB"/>
        </w:rPr>
        <w:t>several</w:t>
      </w:r>
      <w:r w:rsidRPr="00171C2D">
        <w:rPr>
          <w:rFonts w:ascii="Avenir" w:eastAsia="Avenir" w:hAnsi="Avenir" w:cs="Avenir"/>
          <w:lang w:val="en-GB"/>
        </w:rPr>
        <w:t xml:space="preserve"> instances in which it was not possible to determine what services a particular provider was offering a political party. </w:t>
      </w:r>
    </w:p>
    <w:p w14:paraId="1915BBFB" w14:textId="77777777" w:rsidR="00B556DE" w:rsidRPr="00171C2D" w:rsidRDefault="00B556DE">
      <w:pPr>
        <w:jc w:val="both"/>
        <w:rPr>
          <w:rFonts w:ascii="Avenir" w:eastAsia="Avenir" w:hAnsi="Avenir" w:cs="Avenir"/>
          <w:lang w:val="en-GB"/>
        </w:rPr>
      </w:pPr>
    </w:p>
    <w:p w14:paraId="71D93FE2" w14:textId="214524D4" w:rsidR="00B556DE" w:rsidRPr="00171C2D" w:rsidRDefault="000D6BB0">
      <w:pPr>
        <w:jc w:val="both"/>
        <w:rPr>
          <w:rFonts w:ascii="Avenir" w:eastAsia="Avenir" w:hAnsi="Avenir" w:cs="Avenir"/>
          <w:b/>
          <w:bCs/>
          <w:iCs/>
          <w:lang w:val="en-GB"/>
        </w:rPr>
      </w:pPr>
      <w:r w:rsidRPr="00171C2D">
        <w:rPr>
          <w:rFonts w:ascii="Avenir" w:eastAsia="Avenir" w:hAnsi="Avenir" w:cs="Avenir"/>
          <w:b/>
          <w:bCs/>
          <w:iCs/>
          <w:lang w:val="en-GB"/>
        </w:rPr>
        <w:t>Figure 4: Percentage of the 40.6 per</w:t>
      </w:r>
      <w:r w:rsidR="00287E3F">
        <w:rPr>
          <w:rFonts w:ascii="Avenir" w:eastAsia="Avenir" w:hAnsi="Avenir" w:cs="Avenir"/>
          <w:b/>
          <w:bCs/>
          <w:iCs/>
          <w:lang w:val="en-GB"/>
        </w:rPr>
        <w:t xml:space="preserve"> </w:t>
      </w:r>
      <w:r w:rsidRPr="00171C2D">
        <w:rPr>
          <w:rFonts w:ascii="Avenir" w:eastAsia="Avenir" w:hAnsi="Avenir" w:cs="Avenir"/>
          <w:b/>
          <w:bCs/>
          <w:iCs/>
          <w:lang w:val="en-GB"/>
        </w:rPr>
        <w:t>cent of invoices coded as ‘completely unclear’ that were coded under each of the six ‘unclear’ headings, UK General Election 2019</w:t>
      </w:r>
    </w:p>
    <w:p w14:paraId="3674A7AE" w14:textId="77777777" w:rsidR="00B556DE" w:rsidRPr="00171C2D" w:rsidRDefault="000D6BB0">
      <w:pPr>
        <w:jc w:val="both"/>
        <w:rPr>
          <w:rFonts w:ascii="Avenir" w:eastAsia="Avenir" w:hAnsi="Avenir" w:cs="Avenir"/>
          <w:lang w:val="en-GB"/>
        </w:rPr>
      </w:pPr>
      <w:r w:rsidRPr="00171C2D">
        <w:rPr>
          <w:noProof/>
        </w:rPr>
        <w:lastRenderedPageBreak/>
        <w:drawing>
          <wp:inline distT="0" distB="0" distL="0" distR="0" wp14:anchorId="45C1C943" wp14:editId="3652E12A">
            <wp:extent cx="5943600" cy="2730500"/>
            <wp:effectExtent l="0" t="0" r="0" b="0"/>
            <wp:docPr id="4" name="image2.png"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Chart"/>
                    <pic:cNvPicPr>
                      <a:picLocks noChangeAspect="1" noChangeArrowheads="1"/>
                    </pic:cNvPicPr>
                  </pic:nvPicPr>
                  <pic:blipFill>
                    <a:blip r:embed="rId20"/>
                    <a:stretch>
                      <a:fillRect/>
                    </a:stretch>
                  </pic:blipFill>
                  <pic:spPr bwMode="auto">
                    <a:xfrm>
                      <a:off x="0" y="0"/>
                      <a:ext cx="5943600" cy="2730500"/>
                    </a:xfrm>
                    <a:prstGeom prst="rect">
                      <a:avLst/>
                    </a:prstGeom>
                  </pic:spPr>
                </pic:pic>
              </a:graphicData>
            </a:graphic>
          </wp:inline>
        </w:drawing>
      </w:r>
    </w:p>
    <w:p w14:paraId="5476C795" w14:textId="77777777" w:rsidR="00750E21" w:rsidRDefault="00287E3F" w:rsidP="00750E21">
      <w:pPr>
        <w:rPr>
          <w:rFonts w:ascii="Avenir" w:eastAsia="Avenir" w:hAnsi="Avenir" w:cs="Avenir"/>
          <w:lang w:val="en-GB"/>
        </w:rPr>
      </w:pPr>
      <w:r w:rsidRPr="00287E3F">
        <w:rPr>
          <w:rFonts w:ascii="Avenir" w:eastAsia="Avenir" w:hAnsi="Avenir" w:cs="Avenir"/>
          <w:i/>
          <w:iCs/>
          <w:highlight w:val="white"/>
          <w:lang w:val="en-GB"/>
        </w:rPr>
        <w:t>Source</w:t>
      </w:r>
      <w:r>
        <w:rPr>
          <w:rFonts w:ascii="Avenir" w:eastAsia="Avenir" w:hAnsi="Avenir" w:cs="Avenir"/>
          <w:highlight w:val="white"/>
          <w:lang w:val="en-GB"/>
        </w:rPr>
        <w:t xml:space="preserve">: </w:t>
      </w:r>
      <w:r w:rsidR="00750E21">
        <w:rPr>
          <w:rFonts w:ascii="Avenir" w:eastAsia="Avenir" w:hAnsi="Avenir" w:cs="Avenir"/>
          <w:lang w:val="en-GB"/>
        </w:rPr>
        <w:t>Authors´ analysis of invoices returned to the Electoral Commission for the 2019 General Election.</w:t>
      </w:r>
    </w:p>
    <w:p w14:paraId="34518B50" w14:textId="6BD36F60" w:rsidR="00B556DE" w:rsidRPr="00171C2D" w:rsidRDefault="00B556DE">
      <w:pPr>
        <w:jc w:val="both"/>
        <w:rPr>
          <w:rFonts w:ascii="Avenir" w:eastAsia="Avenir" w:hAnsi="Avenir" w:cs="Avenir"/>
          <w:highlight w:val="white"/>
          <w:lang w:val="en-GB"/>
        </w:rPr>
      </w:pPr>
    </w:p>
    <w:p w14:paraId="375A5261" w14:textId="6E4CE6E3" w:rsidR="00B556DE" w:rsidRPr="00171C2D" w:rsidRDefault="000D6BB0">
      <w:pPr>
        <w:jc w:val="both"/>
        <w:rPr>
          <w:rFonts w:ascii="Avenir" w:eastAsia="Avenir" w:hAnsi="Avenir" w:cs="Avenir"/>
          <w:highlight w:val="white"/>
          <w:lang w:val="en-GB"/>
        </w:rPr>
      </w:pPr>
      <w:r w:rsidRPr="00171C2D">
        <w:rPr>
          <w:rFonts w:ascii="Avenir" w:eastAsia="Avenir" w:hAnsi="Avenir" w:cs="Avenir"/>
          <w:highlight w:val="white"/>
          <w:lang w:val="en-GB"/>
        </w:rPr>
        <w:t xml:space="preserve">The research team also examined the possibility that different parties would not be equally likely to submit spending returns with unclear entries. Looking at which parties were responsible for what percentage of unclear </w:t>
      </w:r>
      <w:r w:rsidR="00CB31BE" w:rsidRPr="00171C2D">
        <w:rPr>
          <w:rFonts w:ascii="Avenir" w:eastAsia="Avenir" w:hAnsi="Avenir" w:cs="Avenir"/>
          <w:highlight w:val="white"/>
          <w:lang w:val="en-GB"/>
        </w:rPr>
        <w:t>invoices;</w:t>
      </w:r>
      <w:r w:rsidRPr="00171C2D">
        <w:rPr>
          <w:rFonts w:ascii="Avenir" w:eastAsia="Avenir" w:hAnsi="Avenir" w:cs="Avenir"/>
          <w:highlight w:val="white"/>
          <w:lang w:val="en-GB"/>
        </w:rPr>
        <w:t xml:space="preserve"> Figure 5 shows that the vast majority (59</w:t>
      </w:r>
      <w:r w:rsidR="009014F3">
        <w:rPr>
          <w:rFonts w:ascii="Avenir" w:eastAsia="Avenir" w:hAnsi="Avenir" w:cs="Avenir"/>
          <w:highlight w:val="white"/>
          <w:lang w:val="en-GB"/>
        </w:rPr>
        <w:t> per cent</w:t>
      </w:r>
      <w:r w:rsidRPr="00171C2D">
        <w:rPr>
          <w:rFonts w:ascii="Avenir" w:eastAsia="Avenir" w:hAnsi="Avenir" w:cs="Avenir"/>
          <w:highlight w:val="white"/>
          <w:lang w:val="en-GB"/>
        </w:rPr>
        <w:t>) were returned by the Conservatives (reflecting the large number of CAs). The Liberal Democrats were the party responsible for the next highest percentage of unclear invoices, at 17 per</w:t>
      </w:r>
      <w:r w:rsidR="009014F3">
        <w:rPr>
          <w:rFonts w:ascii="Avenir" w:eastAsia="Avenir" w:hAnsi="Avenir" w:cs="Avenir"/>
          <w:highlight w:val="white"/>
          <w:lang w:val="en-GB"/>
        </w:rPr>
        <w:t xml:space="preserve"> </w:t>
      </w:r>
      <w:r w:rsidRPr="00171C2D">
        <w:rPr>
          <w:rFonts w:ascii="Avenir" w:eastAsia="Avenir" w:hAnsi="Avenir" w:cs="Avenir"/>
          <w:highlight w:val="white"/>
          <w:lang w:val="en-GB"/>
        </w:rPr>
        <w:t>cent, with Reform UK featuring third at 8 per</w:t>
      </w:r>
      <w:r w:rsidR="009014F3">
        <w:rPr>
          <w:rFonts w:ascii="Avenir" w:eastAsia="Avenir" w:hAnsi="Avenir" w:cs="Avenir"/>
          <w:highlight w:val="white"/>
          <w:lang w:val="en-GB"/>
        </w:rPr>
        <w:t xml:space="preserve"> </w:t>
      </w:r>
      <w:r w:rsidRPr="00171C2D">
        <w:rPr>
          <w:rFonts w:ascii="Avenir" w:eastAsia="Avenir" w:hAnsi="Avenir" w:cs="Avenir"/>
          <w:highlight w:val="white"/>
          <w:lang w:val="en-GB"/>
        </w:rPr>
        <w:t xml:space="preserve">cent. </w:t>
      </w:r>
    </w:p>
    <w:p w14:paraId="1F1736AC" w14:textId="77777777" w:rsidR="00B556DE" w:rsidRPr="00171C2D" w:rsidRDefault="00B556DE">
      <w:pPr>
        <w:jc w:val="both"/>
        <w:rPr>
          <w:rFonts w:ascii="Avenir" w:eastAsia="Avenir" w:hAnsi="Avenir" w:cs="Avenir"/>
          <w:highlight w:val="white"/>
          <w:lang w:val="en-GB"/>
        </w:rPr>
      </w:pPr>
    </w:p>
    <w:p w14:paraId="58991962" w14:textId="77777777" w:rsidR="00B556DE" w:rsidRPr="00171C2D" w:rsidRDefault="000D6BB0">
      <w:pPr>
        <w:jc w:val="both"/>
        <w:rPr>
          <w:rFonts w:ascii="Avenir" w:eastAsia="Avenir" w:hAnsi="Avenir" w:cs="Avenir"/>
          <w:b/>
          <w:bCs/>
          <w:iCs/>
          <w:highlight w:val="white"/>
          <w:lang w:val="en-GB"/>
        </w:rPr>
      </w:pPr>
      <w:r w:rsidRPr="00171C2D">
        <w:rPr>
          <w:rFonts w:ascii="Avenir" w:eastAsia="Avenir" w:hAnsi="Avenir" w:cs="Avenir"/>
          <w:b/>
          <w:bCs/>
          <w:iCs/>
          <w:highlight w:val="white"/>
          <w:lang w:val="en-GB"/>
        </w:rPr>
        <w:t>Figure 5: Percentage of unclear invoices that each party was responsible for, UK General Election 2019</w:t>
      </w:r>
    </w:p>
    <w:p w14:paraId="4A7CD6F2" w14:textId="77777777" w:rsidR="00B556DE" w:rsidRPr="00171C2D" w:rsidRDefault="000D6BB0">
      <w:pPr>
        <w:jc w:val="both"/>
        <w:rPr>
          <w:rFonts w:ascii="Avenir" w:eastAsia="Avenir" w:hAnsi="Avenir" w:cs="Avenir"/>
          <w:i/>
          <w:highlight w:val="white"/>
          <w:lang w:val="en-GB"/>
        </w:rPr>
      </w:pPr>
      <w:r w:rsidRPr="00171C2D">
        <w:rPr>
          <w:noProof/>
        </w:rPr>
        <w:drawing>
          <wp:inline distT="0" distB="0" distL="0" distR="0" wp14:anchorId="2494C939" wp14:editId="12CB8902">
            <wp:extent cx="4845355" cy="3168159"/>
            <wp:effectExtent l="0" t="0" r="0" b="0"/>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pic:cNvPicPr>
                      <a:picLocks noChangeAspect="1" noChangeArrowheads="1"/>
                    </pic:cNvPicPr>
                  </pic:nvPicPr>
                  <pic:blipFill>
                    <a:blip r:embed="rId21"/>
                    <a:stretch>
                      <a:fillRect/>
                    </a:stretch>
                  </pic:blipFill>
                  <pic:spPr bwMode="auto">
                    <a:xfrm>
                      <a:off x="0" y="0"/>
                      <a:ext cx="4848748" cy="3170378"/>
                    </a:xfrm>
                    <a:prstGeom prst="rect">
                      <a:avLst/>
                    </a:prstGeom>
                  </pic:spPr>
                </pic:pic>
              </a:graphicData>
            </a:graphic>
          </wp:inline>
        </w:drawing>
      </w:r>
    </w:p>
    <w:p w14:paraId="2964A452" w14:textId="77777777" w:rsidR="00750E21" w:rsidRDefault="00287E3F" w:rsidP="00750E21">
      <w:pPr>
        <w:rPr>
          <w:rFonts w:ascii="Avenir" w:eastAsia="Avenir" w:hAnsi="Avenir" w:cs="Avenir"/>
          <w:lang w:val="en-GB"/>
        </w:rPr>
      </w:pPr>
      <w:r w:rsidRPr="00287E3F">
        <w:rPr>
          <w:rFonts w:ascii="Avenir" w:eastAsia="Avenir" w:hAnsi="Avenir" w:cs="Avenir"/>
          <w:i/>
          <w:iCs/>
          <w:highlight w:val="white"/>
          <w:lang w:val="en-GB"/>
        </w:rPr>
        <w:lastRenderedPageBreak/>
        <w:t>Source</w:t>
      </w:r>
      <w:r>
        <w:rPr>
          <w:rFonts w:ascii="Avenir" w:eastAsia="Avenir" w:hAnsi="Avenir" w:cs="Avenir"/>
          <w:highlight w:val="white"/>
          <w:lang w:val="en-GB"/>
        </w:rPr>
        <w:t xml:space="preserve">: </w:t>
      </w:r>
      <w:r w:rsidR="00750E21">
        <w:rPr>
          <w:rFonts w:ascii="Avenir" w:eastAsia="Avenir" w:hAnsi="Avenir" w:cs="Avenir"/>
          <w:lang w:val="en-GB"/>
        </w:rPr>
        <w:t>Authors´ analysis of invoices returned to the Electoral Commission for the 2019 General Election.</w:t>
      </w:r>
    </w:p>
    <w:p w14:paraId="324ED742" w14:textId="1500ADBE" w:rsidR="00B556DE" w:rsidRPr="00171C2D" w:rsidRDefault="00B556DE">
      <w:pPr>
        <w:jc w:val="both"/>
        <w:rPr>
          <w:rFonts w:ascii="Avenir" w:eastAsia="Avenir" w:hAnsi="Avenir" w:cs="Avenir"/>
          <w:highlight w:val="white"/>
          <w:lang w:val="en-GB"/>
        </w:rPr>
      </w:pPr>
    </w:p>
    <w:p w14:paraId="15A4D48C" w14:textId="21B752DD" w:rsidR="00B556DE" w:rsidRPr="00171C2D" w:rsidRDefault="000D6BB0">
      <w:pPr>
        <w:jc w:val="both"/>
        <w:rPr>
          <w:rFonts w:ascii="Avenir" w:eastAsia="Avenir" w:hAnsi="Avenir" w:cs="Avenir"/>
          <w:highlight w:val="white"/>
          <w:lang w:val="en-GB"/>
        </w:rPr>
      </w:pPr>
      <w:r w:rsidRPr="00171C2D">
        <w:rPr>
          <w:rFonts w:ascii="Avenir" w:eastAsia="Avenir" w:hAnsi="Avenir" w:cs="Avenir"/>
          <w:highlight w:val="white"/>
          <w:lang w:val="en-GB"/>
        </w:rPr>
        <w:t>In looking at this data, however, it is important to note that parties varied dramatically in terms of the number of suppliers that they worked with. Table 3 shows the number of suppliers with unclear invoices as a percentage of the total number of suppliers a party worked with. This reveals that the invoices submitted by some parties, such as Plaid Cymru, were nearly always unclear—with 94 per cent of Plaid Cymru’s invoices coded as unclear</w:t>
      </w:r>
      <w:r w:rsidR="00537B1A" w:rsidRPr="00171C2D">
        <w:rPr>
          <w:rFonts w:ascii="Avenir" w:eastAsia="Avenir" w:hAnsi="Avenir" w:cs="Avenir"/>
          <w:highlight w:val="white"/>
          <w:lang w:val="en-GB"/>
        </w:rPr>
        <w:t>, as were</w:t>
      </w:r>
      <w:r w:rsidRPr="00171C2D">
        <w:rPr>
          <w:rFonts w:ascii="Avenir" w:eastAsia="Avenir" w:hAnsi="Avenir" w:cs="Avenir"/>
          <w:highlight w:val="white"/>
          <w:lang w:val="en-GB"/>
        </w:rPr>
        <w:t xml:space="preserve"> </w:t>
      </w:r>
      <w:proofErr w:type="gramStart"/>
      <w:r w:rsidRPr="00171C2D">
        <w:rPr>
          <w:rFonts w:ascii="Avenir" w:eastAsia="Avenir" w:hAnsi="Avenir" w:cs="Avenir"/>
          <w:highlight w:val="white"/>
          <w:lang w:val="en-GB"/>
        </w:rPr>
        <w:t>all of</w:t>
      </w:r>
      <w:proofErr w:type="gramEnd"/>
      <w:r w:rsidRPr="00171C2D">
        <w:rPr>
          <w:rFonts w:ascii="Avenir" w:eastAsia="Avenir" w:hAnsi="Avenir" w:cs="Avenir"/>
          <w:highlight w:val="white"/>
          <w:lang w:val="en-GB"/>
        </w:rPr>
        <w:t xml:space="preserve"> the Social Democratic Party’s. These findings suggest that political parties should work with EMBs to provide training and support for employees who upload invoices </w:t>
      </w:r>
      <w:r w:rsidR="00556C1B" w:rsidRPr="00171C2D">
        <w:rPr>
          <w:rFonts w:ascii="Avenir" w:eastAsia="Avenir" w:hAnsi="Avenir" w:cs="Avenir"/>
          <w:highlight w:val="white"/>
          <w:lang w:val="en-GB"/>
        </w:rPr>
        <w:t>to</w:t>
      </w:r>
      <w:r w:rsidRPr="00171C2D">
        <w:rPr>
          <w:rFonts w:ascii="Avenir" w:eastAsia="Avenir" w:hAnsi="Avenir" w:cs="Avenir"/>
          <w:highlight w:val="white"/>
          <w:lang w:val="en-GB"/>
        </w:rPr>
        <w:t xml:space="preserve"> improve transparency—and that EMBs may wish to target this support at certain parties with the highest proportions of unclear invoices. </w:t>
      </w:r>
    </w:p>
    <w:p w14:paraId="6F7AC2F7" w14:textId="77777777" w:rsidR="00B556DE" w:rsidRPr="00171C2D" w:rsidRDefault="00B556DE">
      <w:pPr>
        <w:jc w:val="both"/>
        <w:rPr>
          <w:rFonts w:ascii="Avenir" w:eastAsia="Avenir" w:hAnsi="Avenir" w:cs="Avenir"/>
          <w:highlight w:val="white"/>
          <w:lang w:val="en-GB"/>
        </w:rPr>
      </w:pPr>
    </w:p>
    <w:p w14:paraId="500DE420" w14:textId="2553C6ED" w:rsidR="00B556DE" w:rsidRPr="00171C2D" w:rsidRDefault="000D6BB0">
      <w:pPr>
        <w:jc w:val="both"/>
        <w:rPr>
          <w:rFonts w:ascii="Avenir" w:eastAsia="Avenir" w:hAnsi="Avenir" w:cs="Avenir"/>
          <w:b/>
          <w:bCs/>
          <w:iCs/>
          <w:highlight w:val="white"/>
          <w:lang w:val="en-GB"/>
        </w:rPr>
      </w:pPr>
      <w:r w:rsidRPr="00171C2D">
        <w:rPr>
          <w:rFonts w:ascii="Avenir" w:eastAsia="Avenir" w:hAnsi="Avenir" w:cs="Avenir"/>
          <w:b/>
          <w:bCs/>
          <w:iCs/>
          <w:lang w:val="en-GB"/>
        </w:rPr>
        <w:t>Table 3: Percentage of suppliers with at least one completely unclear entry by party and number of total suppliers, UK General Election 2019</w:t>
      </w:r>
    </w:p>
    <w:tbl>
      <w:tblPr>
        <w:tblW w:w="9360" w:type="dxa"/>
        <w:tblInd w:w="115" w:type="dxa"/>
        <w:tblCellMar>
          <w:top w:w="100" w:type="dxa"/>
          <w:left w:w="100" w:type="dxa"/>
          <w:bottom w:w="100" w:type="dxa"/>
          <w:right w:w="100" w:type="dxa"/>
        </w:tblCellMar>
        <w:tblLook w:val="0600" w:firstRow="0" w:lastRow="0" w:firstColumn="0" w:lastColumn="0" w:noHBand="1" w:noVBand="1"/>
      </w:tblPr>
      <w:tblGrid>
        <w:gridCol w:w="2056"/>
        <w:gridCol w:w="2729"/>
        <w:gridCol w:w="2611"/>
        <w:gridCol w:w="1964"/>
      </w:tblGrid>
      <w:tr w:rsidR="00171C2D" w:rsidRPr="00171C2D" w14:paraId="64A14D64" w14:textId="77777777">
        <w:tc>
          <w:tcPr>
            <w:tcW w:w="2055" w:type="dxa"/>
            <w:tcBorders>
              <w:top w:val="single" w:sz="8" w:space="0" w:color="000000"/>
              <w:left w:val="single" w:sz="8" w:space="0" w:color="000000"/>
              <w:bottom w:val="single" w:sz="8" w:space="0" w:color="000000"/>
              <w:right w:val="single" w:sz="8" w:space="0" w:color="000000"/>
            </w:tcBorders>
            <w:shd w:val="clear" w:color="auto" w:fill="auto"/>
          </w:tcPr>
          <w:p w14:paraId="3FF5744B" w14:textId="77777777" w:rsidR="00B556DE" w:rsidRPr="00171C2D" w:rsidRDefault="000D6BB0">
            <w:pPr>
              <w:widowControl w:val="0"/>
              <w:spacing w:line="240" w:lineRule="auto"/>
              <w:rPr>
                <w:rFonts w:ascii="Avenir" w:eastAsia="Avenir" w:hAnsi="Avenir" w:cs="Avenir"/>
                <w:b/>
                <w:highlight w:val="white"/>
                <w:lang w:val="en-GB"/>
              </w:rPr>
            </w:pPr>
            <w:r w:rsidRPr="00171C2D">
              <w:rPr>
                <w:rFonts w:ascii="Avenir" w:eastAsia="Avenir" w:hAnsi="Avenir" w:cs="Avenir"/>
                <w:b/>
                <w:highlight w:val="white"/>
                <w:lang w:val="en-GB"/>
              </w:rPr>
              <w:t>Party</w:t>
            </w:r>
          </w:p>
        </w:tc>
        <w:tc>
          <w:tcPr>
            <w:tcW w:w="2729" w:type="dxa"/>
            <w:tcBorders>
              <w:top w:val="single" w:sz="8" w:space="0" w:color="000000"/>
              <w:left w:val="single" w:sz="8" w:space="0" w:color="000000"/>
              <w:bottom w:val="single" w:sz="8" w:space="0" w:color="000000"/>
              <w:right w:val="single" w:sz="8" w:space="0" w:color="000000"/>
            </w:tcBorders>
            <w:shd w:val="clear" w:color="auto" w:fill="auto"/>
          </w:tcPr>
          <w:p w14:paraId="467B44D3" w14:textId="77777777" w:rsidR="00B556DE" w:rsidRPr="00171C2D" w:rsidRDefault="000D6BB0">
            <w:pPr>
              <w:widowControl w:val="0"/>
              <w:spacing w:line="240" w:lineRule="auto"/>
              <w:rPr>
                <w:rFonts w:ascii="Avenir" w:eastAsia="Avenir" w:hAnsi="Avenir" w:cs="Avenir"/>
                <w:b/>
                <w:highlight w:val="white"/>
                <w:lang w:val="en-GB"/>
              </w:rPr>
            </w:pPr>
            <w:r w:rsidRPr="00171C2D">
              <w:rPr>
                <w:rFonts w:ascii="Avenir" w:eastAsia="Avenir" w:hAnsi="Avenir" w:cs="Avenir"/>
                <w:b/>
                <w:highlight w:val="white"/>
                <w:lang w:val="en-GB"/>
              </w:rPr>
              <w:t>Total no. of suppliers</w:t>
            </w:r>
          </w:p>
        </w:tc>
        <w:tc>
          <w:tcPr>
            <w:tcW w:w="2611" w:type="dxa"/>
            <w:tcBorders>
              <w:top w:val="single" w:sz="8" w:space="0" w:color="000000"/>
              <w:left w:val="single" w:sz="8" w:space="0" w:color="000000"/>
              <w:bottom w:val="single" w:sz="8" w:space="0" w:color="000000"/>
              <w:right w:val="single" w:sz="8" w:space="0" w:color="000000"/>
            </w:tcBorders>
            <w:shd w:val="clear" w:color="auto" w:fill="auto"/>
          </w:tcPr>
          <w:p w14:paraId="020C3BDB" w14:textId="77777777" w:rsidR="00B556DE" w:rsidRPr="00171C2D" w:rsidRDefault="000D6BB0">
            <w:pPr>
              <w:widowControl w:val="0"/>
              <w:spacing w:line="240" w:lineRule="auto"/>
              <w:rPr>
                <w:rFonts w:ascii="Avenir" w:eastAsia="Avenir" w:hAnsi="Avenir" w:cs="Avenir"/>
                <w:b/>
                <w:highlight w:val="white"/>
                <w:lang w:val="en-GB"/>
              </w:rPr>
            </w:pPr>
            <w:r w:rsidRPr="00171C2D">
              <w:rPr>
                <w:rFonts w:ascii="Avenir" w:eastAsia="Avenir" w:hAnsi="Avenir" w:cs="Avenir"/>
                <w:b/>
                <w:highlight w:val="white"/>
                <w:lang w:val="en-GB"/>
              </w:rPr>
              <w:t>No. of suppliers with unclear invoices</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14:paraId="2A60F4EF" w14:textId="77777777" w:rsidR="00B556DE" w:rsidRPr="00171C2D" w:rsidRDefault="000D6BB0">
            <w:pPr>
              <w:widowControl w:val="0"/>
              <w:spacing w:line="240" w:lineRule="auto"/>
              <w:rPr>
                <w:rFonts w:ascii="Avenir" w:eastAsia="Avenir" w:hAnsi="Avenir" w:cs="Avenir"/>
                <w:b/>
                <w:highlight w:val="white"/>
                <w:lang w:val="en-GB"/>
              </w:rPr>
            </w:pPr>
            <w:r w:rsidRPr="00171C2D">
              <w:rPr>
                <w:rFonts w:ascii="Avenir" w:eastAsia="Avenir" w:hAnsi="Avenir" w:cs="Avenir"/>
                <w:b/>
                <w:highlight w:val="white"/>
                <w:lang w:val="en-GB"/>
              </w:rPr>
              <w:t xml:space="preserve">% </w:t>
            </w:r>
            <w:proofErr w:type="gramStart"/>
            <w:r w:rsidRPr="00171C2D">
              <w:rPr>
                <w:rFonts w:ascii="Avenir" w:eastAsia="Avenir" w:hAnsi="Avenir" w:cs="Avenir"/>
                <w:b/>
                <w:highlight w:val="white"/>
                <w:lang w:val="en-GB"/>
              </w:rPr>
              <w:t>unclear</w:t>
            </w:r>
            <w:proofErr w:type="gramEnd"/>
            <w:r w:rsidRPr="00171C2D">
              <w:rPr>
                <w:rFonts w:ascii="Avenir" w:eastAsia="Avenir" w:hAnsi="Avenir" w:cs="Avenir"/>
                <w:b/>
                <w:highlight w:val="white"/>
                <w:lang w:val="en-GB"/>
              </w:rPr>
              <w:t xml:space="preserve"> </w:t>
            </w:r>
          </w:p>
        </w:tc>
      </w:tr>
      <w:tr w:rsidR="00171C2D" w:rsidRPr="00171C2D" w14:paraId="421A7543" w14:textId="77777777">
        <w:tc>
          <w:tcPr>
            <w:tcW w:w="2055" w:type="dxa"/>
            <w:tcBorders>
              <w:top w:val="single" w:sz="8" w:space="0" w:color="000000"/>
              <w:left w:val="single" w:sz="8" w:space="0" w:color="000000"/>
              <w:bottom w:val="single" w:sz="8" w:space="0" w:color="000000"/>
              <w:right w:val="single" w:sz="8" w:space="0" w:color="000000"/>
            </w:tcBorders>
            <w:shd w:val="clear" w:color="auto" w:fill="auto"/>
          </w:tcPr>
          <w:p w14:paraId="1B22DAA2"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Conservatives</w:t>
            </w:r>
          </w:p>
        </w:tc>
        <w:tc>
          <w:tcPr>
            <w:tcW w:w="2729" w:type="dxa"/>
            <w:tcBorders>
              <w:top w:val="single" w:sz="8" w:space="0" w:color="000000"/>
              <w:left w:val="single" w:sz="8" w:space="0" w:color="000000"/>
              <w:bottom w:val="single" w:sz="8" w:space="0" w:color="000000"/>
              <w:right w:val="single" w:sz="8" w:space="0" w:color="000000"/>
            </w:tcBorders>
            <w:shd w:val="clear" w:color="auto" w:fill="auto"/>
          </w:tcPr>
          <w:p w14:paraId="232A4282"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358</w:t>
            </w:r>
          </w:p>
        </w:tc>
        <w:tc>
          <w:tcPr>
            <w:tcW w:w="2611" w:type="dxa"/>
            <w:tcBorders>
              <w:top w:val="single" w:sz="8" w:space="0" w:color="000000"/>
              <w:left w:val="single" w:sz="8" w:space="0" w:color="000000"/>
              <w:bottom w:val="single" w:sz="8" w:space="0" w:color="000000"/>
              <w:right w:val="single" w:sz="8" w:space="0" w:color="000000"/>
            </w:tcBorders>
            <w:shd w:val="clear" w:color="auto" w:fill="auto"/>
          </w:tcPr>
          <w:p w14:paraId="27463DE9"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242 (inc. 219 CAs)</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14:paraId="4CC1CE76"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68% (6% after excluding CAs)</w:t>
            </w:r>
          </w:p>
        </w:tc>
      </w:tr>
      <w:tr w:rsidR="00171C2D" w:rsidRPr="00171C2D" w14:paraId="61953968" w14:textId="77777777">
        <w:tc>
          <w:tcPr>
            <w:tcW w:w="2055" w:type="dxa"/>
            <w:tcBorders>
              <w:top w:val="single" w:sz="8" w:space="0" w:color="000000"/>
              <w:left w:val="single" w:sz="8" w:space="0" w:color="000000"/>
              <w:bottom w:val="single" w:sz="8" w:space="0" w:color="000000"/>
              <w:right w:val="single" w:sz="8" w:space="0" w:color="000000"/>
            </w:tcBorders>
            <w:shd w:val="clear" w:color="auto" w:fill="auto"/>
          </w:tcPr>
          <w:p w14:paraId="0C115081"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Labour</w:t>
            </w:r>
          </w:p>
        </w:tc>
        <w:tc>
          <w:tcPr>
            <w:tcW w:w="2729" w:type="dxa"/>
            <w:tcBorders>
              <w:top w:val="single" w:sz="8" w:space="0" w:color="000000"/>
              <w:left w:val="single" w:sz="8" w:space="0" w:color="000000"/>
              <w:bottom w:val="single" w:sz="8" w:space="0" w:color="000000"/>
              <w:right w:val="single" w:sz="8" w:space="0" w:color="000000"/>
            </w:tcBorders>
            <w:shd w:val="clear" w:color="auto" w:fill="auto"/>
          </w:tcPr>
          <w:p w14:paraId="0F4A0B14"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202</w:t>
            </w:r>
          </w:p>
        </w:tc>
        <w:tc>
          <w:tcPr>
            <w:tcW w:w="2611" w:type="dxa"/>
            <w:tcBorders>
              <w:top w:val="single" w:sz="8" w:space="0" w:color="000000"/>
              <w:left w:val="single" w:sz="8" w:space="0" w:color="000000"/>
              <w:bottom w:val="single" w:sz="8" w:space="0" w:color="000000"/>
              <w:right w:val="single" w:sz="8" w:space="0" w:color="000000"/>
            </w:tcBorders>
            <w:shd w:val="clear" w:color="auto" w:fill="auto"/>
          </w:tcPr>
          <w:p w14:paraId="2697CA2B"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29</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14:paraId="2833AD89"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14%</w:t>
            </w:r>
          </w:p>
        </w:tc>
      </w:tr>
      <w:tr w:rsidR="00171C2D" w:rsidRPr="00171C2D" w14:paraId="3731AFED" w14:textId="77777777">
        <w:tc>
          <w:tcPr>
            <w:tcW w:w="2055" w:type="dxa"/>
            <w:tcBorders>
              <w:top w:val="single" w:sz="8" w:space="0" w:color="000000"/>
              <w:left w:val="single" w:sz="8" w:space="0" w:color="000000"/>
              <w:bottom w:val="single" w:sz="8" w:space="0" w:color="000000"/>
              <w:right w:val="single" w:sz="8" w:space="0" w:color="000000"/>
            </w:tcBorders>
            <w:shd w:val="clear" w:color="auto" w:fill="auto"/>
          </w:tcPr>
          <w:p w14:paraId="34C8466A"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Liberal Democrats</w:t>
            </w:r>
          </w:p>
        </w:tc>
        <w:tc>
          <w:tcPr>
            <w:tcW w:w="2729" w:type="dxa"/>
            <w:tcBorders>
              <w:top w:val="single" w:sz="8" w:space="0" w:color="000000"/>
              <w:left w:val="single" w:sz="8" w:space="0" w:color="000000"/>
              <w:bottom w:val="single" w:sz="8" w:space="0" w:color="000000"/>
              <w:right w:val="single" w:sz="8" w:space="0" w:color="000000"/>
            </w:tcBorders>
            <w:shd w:val="clear" w:color="auto" w:fill="auto"/>
          </w:tcPr>
          <w:p w14:paraId="02421F1D"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284</w:t>
            </w:r>
          </w:p>
        </w:tc>
        <w:tc>
          <w:tcPr>
            <w:tcW w:w="2611" w:type="dxa"/>
            <w:tcBorders>
              <w:top w:val="single" w:sz="8" w:space="0" w:color="000000"/>
              <w:left w:val="single" w:sz="8" w:space="0" w:color="000000"/>
              <w:bottom w:val="single" w:sz="8" w:space="0" w:color="000000"/>
              <w:right w:val="single" w:sz="8" w:space="0" w:color="000000"/>
            </w:tcBorders>
            <w:shd w:val="clear" w:color="auto" w:fill="auto"/>
          </w:tcPr>
          <w:p w14:paraId="3DB03D67"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71</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14:paraId="2D307628"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25%</w:t>
            </w:r>
          </w:p>
        </w:tc>
      </w:tr>
      <w:tr w:rsidR="00171C2D" w:rsidRPr="00171C2D" w14:paraId="39871500" w14:textId="77777777">
        <w:tc>
          <w:tcPr>
            <w:tcW w:w="2055" w:type="dxa"/>
            <w:tcBorders>
              <w:top w:val="single" w:sz="8" w:space="0" w:color="000000"/>
              <w:left w:val="single" w:sz="8" w:space="0" w:color="000000"/>
              <w:bottom w:val="single" w:sz="8" w:space="0" w:color="000000"/>
              <w:right w:val="single" w:sz="8" w:space="0" w:color="000000"/>
            </w:tcBorders>
            <w:shd w:val="clear" w:color="auto" w:fill="auto"/>
          </w:tcPr>
          <w:p w14:paraId="0836F74F"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Reform UK</w:t>
            </w:r>
          </w:p>
        </w:tc>
        <w:tc>
          <w:tcPr>
            <w:tcW w:w="2729" w:type="dxa"/>
            <w:tcBorders>
              <w:top w:val="single" w:sz="8" w:space="0" w:color="000000"/>
              <w:left w:val="single" w:sz="8" w:space="0" w:color="000000"/>
              <w:bottom w:val="single" w:sz="8" w:space="0" w:color="000000"/>
              <w:right w:val="single" w:sz="8" w:space="0" w:color="000000"/>
            </w:tcBorders>
            <w:shd w:val="clear" w:color="auto" w:fill="auto"/>
          </w:tcPr>
          <w:p w14:paraId="3FBA4DDE"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85</w:t>
            </w:r>
          </w:p>
        </w:tc>
        <w:tc>
          <w:tcPr>
            <w:tcW w:w="2611" w:type="dxa"/>
            <w:tcBorders>
              <w:top w:val="single" w:sz="8" w:space="0" w:color="000000"/>
              <w:left w:val="single" w:sz="8" w:space="0" w:color="000000"/>
              <w:bottom w:val="single" w:sz="8" w:space="0" w:color="000000"/>
              <w:right w:val="single" w:sz="8" w:space="0" w:color="000000"/>
            </w:tcBorders>
            <w:shd w:val="clear" w:color="auto" w:fill="auto"/>
          </w:tcPr>
          <w:p w14:paraId="694A1204"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31</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14:paraId="59A21186"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36%</w:t>
            </w:r>
          </w:p>
        </w:tc>
      </w:tr>
      <w:tr w:rsidR="00171C2D" w:rsidRPr="00171C2D" w14:paraId="364B5E46" w14:textId="77777777">
        <w:tc>
          <w:tcPr>
            <w:tcW w:w="2055" w:type="dxa"/>
            <w:tcBorders>
              <w:top w:val="single" w:sz="8" w:space="0" w:color="000000"/>
              <w:left w:val="single" w:sz="8" w:space="0" w:color="000000"/>
              <w:bottom w:val="single" w:sz="8" w:space="0" w:color="000000"/>
              <w:right w:val="single" w:sz="8" w:space="0" w:color="000000"/>
            </w:tcBorders>
            <w:shd w:val="clear" w:color="auto" w:fill="auto"/>
          </w:tcPr>
          <w:p w14:paraId="0E3D7A3E"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Scottish National Party</w:t>
            </w:r>
          </w:p>
        </w:tc>
        <w:tc>
          <w:tcPr>
            <w:tcW w:w="2729" w:type="dxa"/>
            <w:tcBorders>
              <w:top w:val="single" w:sz="8" w:space="0" w:color="000000"/>
              <w:left w:val="single" w:sz="8" w:space="0" w:color="000000"/>
              <w:bottom w:val="single" w:sz="8" w:space="0" w:color="000000"/>
              <w:right w:val="single" w:sz="8" w:space="0" w:color="000000"/>
            </w:tcBorders>
            <w:shd w:val="clear" w:color="auto" w:fill="auto"/>
          </w:tcPr>
          <w:p w14:paraId="67875CCF"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36</w:t>
            </w:r>
          </w:p>
        </w:tc>
        <w:tc>
          <w:tcPr>
            <w:tcW w:w="2611" w:type="dxa"/>
            <w:tcBorders>
              <w:top w:val="single" w:sz="8" w:space="0" w:color="000000"/>
              <w:left w:val="single" w:sz="8" w:space="0" w:color="000000"/>
              <w:bottom w:val="single" w:sz="8" w:space="0" w:color="000000"/>
              <w:right w:val="single" w:sz="8" w:space="0" w:color="000000"/>
            </w:tcBorders>
            <w:shd w:val="clear" w:color="auto" w:fill="auto"/>
          </w:tcPr>
          <w:p w14:paraId="4F006B8E"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2</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14:paraId="5E2B182D"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6%</w:t>
            </w:r>
          </w:p>
        </w:tc>
      </w:tr>
      <w:tr w:rsidR="00171C2D" w:rsidRPr="00171C2D" w14:paraId="4BB193ED" w14:textId="77777777">
        <w:tc>
          <w:tcPr>
            <w:tcW w:w="2055" w:type="dxa"/>
            <w:tcBorders>
              <w:top w:val="single" w:sz="8" w:space="0" w:color="000000"/>
              <w:left w:val="single" w:sz="8" w:space="0" w:color="000000"/>
              <w:bottom w:val="single" w:sz="8" w:space="0" w:color="000000"/>
              <w:right w:val="single" w:sz="8" w:space="0" w:color="000000"/>
            </w:tcBorders>
            <w:shd w:val="clear" w:color="auto" w:fill="auto"/>
          </w:tcPr>
          <w:p w14:paraId="046C7ACD"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Green Party</w:t>
            </w:r>
          </w:p>
        </w:tc>
        <w:tc>
          <w:tcPr>
            <w:tcW w:w="2729" w:type="dxa"/>
            <w:tcBorders>
              <w:top w:val="single" w:sz="8" w:space="0" w:color="000000"/>
              <w:left w:val="single" w:sz="8" w:space="0" w:color="000000"/>
              <w:bottom w:val="single" w:sz="8" w:space="0" w:color="000000"/>
              <w:right w:val="single" w:sz="8" w:space="0" w:color="000000"/>
            </w:tcBorders>
            <w:shd w:val="clear" w:color="auto" w:fill="auto"/>
          </w:tcPr>
          <w:p w14:paraId="50AFB601"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52</w:t>
            </w:r>
          </w:p>
        </w:tc>
        <w:tc>
          <w:tcPr>
            <w:tcW w:w="2611" w:type="dxa"/>
            <w:tcBorders>
              <w:top w:val="single" w:sz="8" w:space="0" w:color="000000"/>
              <w:left w:val="single" w:sz="8" w:space="0" w:color="000000"/>
              <w:bottom w:val="single" w:sz="8" w:space="0" w:color="000000"/>
              <w:right w:val="single" w:sz="8" w:space="0" w:color="000000"/>
            </w:tcBorders>
            <w:shd w:val="clear" w:color="auto" w:fill="auto"/>
          </w:tcPr>
          <w:p w14:paraId="7FE632A7"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9</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14:paraId="3D323F42"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17%</w:t>
            </w:r>
          </w:p>
        </w:tc>
      </w:tr>
      <w:tr w:rsidR="00171C2D" w:rsidRPr="00171C2D" w14:paraId="0B86C87B" w14:textId="77777777">
        <w:tc>
          <w:tcPr>
            <w:tcW w:w="2055" w:type="dxa"/>
            <w:tcBorders>
              <w:top w:val="single" w:sz="8" w:space="0" w:color="000000"/>
              <w:left w:val="single" w:sz="8" w:space="0" w:color="000000"/>
              <w:bottom w:val="single" w:sz="8" w:space="0" w:color="000000"/>
              <w:right w:val="single" w:sz="8" w:space="0" w:color="000000"/>
            </w:tcBorders>
            <w:shd w:val="clear" w:color="auto" w:fill="auto"/>
          </w:tcPr>
          <w:p w14:paraId="7684D9D7"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Plaid Cymru</w:t>
            </w:r>
          </w:p>
        </w:tc>
        <w:tc>
          <w:tcPr>
            <w:tcW w:w="2729" w:type="dxa"/>
            <w:tcBorders>
              <w:top w:val="single" w:sz="8" w:space="0" w:color="000000"/>
              <w:left w:val="single" w:sz="8" w:space="0" w:color="000000"/>
              <w:bottom w:val="single" w:sz="8" w:space="0" w:color="000000"/>
              <w:right w:val="single" w:sz="8" w:space="0" w:color="000000"/>
            </w:tcBorders>
            <w:shd w:val="clear" w:color="auto" w:fill="auto"/>
          </w:tcPr>
          <w:p w14:paraId="61A5F8C7"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17</w:t>
            </w:r>
          </w:p>
        </w:tc>
        <w:tc>
          <w:tcPr>
            <w:tcW w:w="2611" w:type="dxa"/>
            <w:tcBorders>
              <w:top w:val="single" w:sz="8" w:space="0" w:color="000000"/>
              <w:left w:val="single" w:sz="8" w:space="0" w:color="000000"/>
              <w:bottom w:val="single" w:sz="8" w:space="0" w:color="000000"/>
              <w:right w:val="single" w:sz="8" w:space="0" w:color="000000"/>
            </w:tcBorders>
            <w:shd w:val="clear" w:color="auto" w:fill="auto"/>
          </w:tcPr>
          <w:p w14:paraId="3745C4E2"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16</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14:paraId="0A9EDCBC"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94%</w:t>
            </w:r>
          </w:p>
        </w:tc>
      </w:tr>
      <w:tr w:rsidR="00171C2D" w:rsidRPr="00171C2D" w14:paraId="5BCC836D" w14:textId="77777777">
        <w:tc>
          <w:tcPr>
            <w:tcW w:w="2055" w:type="dxa"/>
            <w:tcBorders>
              <w:top w:val="single" w:sz="8" w:space="0" w:color="000000"/>
              <w:left w:val="single" w:sz="8" w:space="0" w:color="000000"/>
              <w:bottom w:val="single" w:sz="8" w:space="0" w:color="000000"/>
              <w:right w:val="single" w:sz="8" w:space="0" w:color="000000"/>
            </w:tcBorders>
            <w:shd w:val="clear" w:color="auto" w:fill="auto"/>
          </w:tcPr>
          <w:p w14:paraId="4CC5C24B"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UKIP</w:t>
            </w:r>
          </w:p>
        </w:tc>
        <w:tc>
          <w:tcPr>
            <w:tcW w:w="2729" w:type="dxa"/>
            <w:tcBorders>
              <w:top w:val="single" w:sz="8" w:space="0" w:color="000000"/>
              <w:left w:val="single" w:sz="8" w:space="0" w:color="000000"/>
              <w:bottom w:val="single" w:sz="8" w:space="0" w:color="000000"/>
              <w:right w:val="single" w:sz="8" w:space="0" w:color="000000"/>
            </w:tcBorders>
            <w:shd w:val="clear" w:color="auto" w:fill="auto"/>
          </w:tcPr>
          <w:p w14:paraId="59BB8625"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4</w:t>
            </w:r>
          </w:p>
        </w:tc>
        <w:tc>
          <w:tcPr>
            <w:tcW w:w="2611" w:type="dxa"/>
            <w:tcBorders>
              <w:top w:val="single" w:sz="8" w:space="0" w:color="000000"/>
              <w:left w:val="single" w:sz="8" w:space="0" w:color="000000"/>
              <w:bottom w:val="single" w:sz="8" w:space="0" w:color="000000"/>
              <w:right w:val="single" w:sz="8" w:space="0" w:color="000000"/>
            </w:tcBorders>
            <w:shd w:val="clear" w:color="auto" w:fill="auto"/>
          </w:tcPr>
          <w:p w14:paraId="0A161D8D"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1</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14:paraId="0D78511D"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25%</w:t>
            </w:r>
          </w:p>
        </w:tc>
      </w:tr>
      <w:tr w:rsidR="00171C2D" w:rsidRPr="00171C2D" w14:paraId="551684C7" w14:textId="77777777">
        <w:tc>
          <w:tcPr>
            <w:tcW w:w="2055" w:type="dxa"/>
            <w:tcBorders>
              <w:top w:val="single" w:sz="8" w:space="0" w:color="000000"/>
              <w:left w:val="single" w:sz="8" w:space="0" w:color="000000"/>
              <w:bottom w:val="single" w:sz="8" w:space="0" w:color="000000"/>
              <w:right w:val="single" w:sz="8" w:space="0" w:color="000000"/>
            </w:tcBorders>
            <w:shd w:val="clear" w:color="auto" w:fill="auto"/>
          </w:tcPr>
          <w:p w14:paraId="4FDAC7C9"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Co-Op Party</w:t>
            </w:r>
          </w:p>
        </w:tc>
        <w:tc>
          <w:tcPr>
            <w:tcW w:w="2729" w:type="dxa"/>
            <w:tcBorders>
              <w:top w:val="single" w:sz="8" w:space="0" w:color="000000"/>
              <w:left w:val="single" w:sz="8" w:space="0" w:color="000000"/>
              <w:bottom w:val="single" w:sz="8" w:space="0" w:color="000000"/>
              <w:right w:val="single" w:sz="8" w:space="0" w:color="000000"/>
            </w:tcBorders>
            <w:shd w:val="clear" w:color="auto" w:fill="auto"/>
          </w:tcPr>
          <w:p w14:paraId="172F4609"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10</w:t>
            </w:r>
          </w:p>
        </w:tc>
        <w:tc>
          <w:tcPr>
            <w:tcW w:w="2611" w:type="dxa"/>
            <w:tcBorders>
              <w:top w:val="single" w:sz="8" w:space="0" w:color="000000"/>
              <w:left w:val="single" w:sz="8" w:space="0" w:color="000000"/>
              <w:bottom w:val="single" w:sz="8" w:space="0" w:color="000000"/>
              <w:right w:val="single" w:sz="8" w:space="0" w:color="000000"/>
            </w:tcBorders>
            <w:shd w:val="clear" w:color="auto" w:fill="auto"/>
          </w:tcPr>
          <w:p w14:paraId="0B9E7CD9"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2</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14:paraId="5A283F70"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20%</w:t>
            </w:r>
          </w:p>
        </w:tc>
      </w:tr>
      <w:tr w:rsidR="00171C2D" w:rsidRPr="00171C2D" w14:paraId="620819EB" w14:textId="77777777">
        <w:tc>
          <w:tcPr>
            <w:tcW w:w="2055" w:type="dxa"/>
            <w:tcBorders>
              <w:top w:val="single" w:sz="8" w:space="0" w:color="000000"/>
              <w:left w:val="single" w:sz="8" w:space="0" w:color="000000"/>
              <w:bottom w:val="single" w:sz="8" w:space="0" w:color="000000"/>
              <w:right w:val="single" w:sz="8" w:space="0" w:color="000000"/>
            </w:tcBorders>
            <w:shd w:val="clear" w:color="auto" w:fill="auto"/>
          </w:tcPr>
          <w:p w14:paraId="5BF09F02"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Democratic Unionist Party</w:t>
            </w:r>
          </w:p>
        </w:tc>
        <w:tc>
          <w:tcPr>
            <w:tcW w:w="2729" w:type="dxa"/>
            <w:tcBorders>
              <w:top w:val="single" w:sz="8" w:space="0" w:color="000000"/>
              <w:left w:val="single" w:sz="8" w:space="0" w:color="000000"/>
              <w:bottom w:val="single" w:sz="8" w:space="0" w:color="000000"/>
              <w:right w:val="single" w:sz="8" w:space="0" w:color="000000"/>
            </w:tcBorders>
            <w:shd w:val="clear" w:color="auto" w:fill="auto"/>
          </w:tcPr>
          <w:p w14:paraId="3910EBF7"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5</w:t>
            </w:r>
          </w:p>
        </w:tc>
        <w:tc>
          <w:tcPr>
            <w:tcW w:w="2611" w:type="dxa"/>
            <w:tcBorders>
              <w:top w:val="single" w:sz="8" w:space="0" w:color="000000"/>
              <w:left w:val="single" w:sz="8" w:space="0" w:color="000000"/>
              <w:bottom w:val="single" w:sz="8" w:space="0" w:color="000000"/>
              <w:right w:val="single" w:sz="8" w:space="0" w:color="000000"/>
            </w:tcBorders>
            <w:shd w:val="clear" w:color="auto" w:fill="auto"/>
          </w:tcPr>
          <w:p w14:paraId="59392D35"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1</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14:paraId="0188393A"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20%</w:t>
            </w:r>
          </w:p>
        </w:tc>
      </w:tr>
      <w:tr w:rsidR="00171C2D" w:rsidRPr="00171C2D" w14:paraId="4BA8130F" w14:textId="77777777">
        <w:tc>
          <w:tcPr>
            <w:tcW w:w="2055" w:type="dxa"/>
            <w:tcBorders>
              <w:top w:val="single" w:sz="8" w:space="0" w:color="000000"/>
              <w:left w:val="single" w:sz="8" w:space="0" w:color="000000"/>
              <w:bottom w:val="single" w:sz="8" w:space="0" w:color="000000"/>
              <w:right w:val="single" w:sz="8" w:space="0" w:color="000000"/>
            </w:tcBorders>
            <w:shd w:val="clear" w:color="auto" w:fill="auto"/>
          </w:tcPr>
          <w:p w14:paraId="6BD740E2"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Advance Together</w:t>
            </w:r>
          </w:p>
        </w:tc>
        <w:tc>
          <w:tcPr>
            <w:tcW w:w="2729" w:type="dxa"/>
            <w:tcBorders>
              <w:top w:val="single" w:sz="8" w:space="0" w:color="000000"/>
              <w:left w:val="single" w:sz="8" w:space="0" w:color="000000"/>
              <w:bottom w:val="single" w:sz="8" w:space="0" w:color="000000"/>
              <w:right w:val="single" w:sz="8" w:space="0" w:color="000000"/>
            </w:tcBorders>
            <w:shd w:val="clear" w:color="auto" w:fill="auto"/>
          </w:tcPr>
          <w:p w14:paraId="3BE114B7"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4</w:t>
            </w:r>
          </w:p>
        </w:tc>
        <w:tc>
          <w:tcPr>
            <w:tcW w:w="2611" w:type="dxa"/>
            <w:tcBorders>
              <w:top w:val="single" w:sz="8" w:space="0" w:color="000000"/>
              <w:left w:val="single" w:sz="8" w:space="0" w:color="000000"/>
              <w:bottom w:val="single" w:sz="8" w:space="0" w:color="000000"/>
              <w:right w:val="single" w:sz="8" w:space="0" w:color="000000"/>
            </w:tcBorders>
            <w:shd w:val="clear" w:color="auto" w:fill="auto"/>
          </w:tcPr>
          <w:p w14:paraId="44E478A3"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2</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14:paraId="0BF4DBFC"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50%</w:t>
            </w:r>
          </w:p>
        </w:tc>
      </w:tr>
      <w:tr w:rsidR="00171C2D" w:rsidRPr="00171C2D" w14:paraId="1FEB6A48" w14:textId="77777777">
        <w:tc>
          <w:tcPr>
            <w:tcW w:w="2055" w:type="dxa"/>
            <w:tcBorders>
              <w:top w:val="single" w:sz="8" w:space="0" w:color="000000"/>
              <w:left w:val="single" w:sz="8" w:space="0" w:color="000000"/>
              <w:bottom w:val="single" w:sz="8" w:space="0" w:color="000000"/>
              <w:right w:val="single" w:sz="8" w:space="0" w:color="000000"/>
            </w:tcBorders>
            <w:shd w:val="clear" w:color="auto" w:fill="auto"/>
          </w:tcPr>
          <w:p w14:paraId="09F00F5A"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Social Democratic and Labour Party</w:t>
            </w:r>
          </w:p>
        </w:tc>
        <w:tc>
          <w:tcPr>
            <w:tcW w:w="2729" w:type="dxa"/>
            <w:tcBorders>
              <w:top w:val="single" w:sz="8" w:space="0" w:color="000000"/>
              <w:left w:val="single" w:sz="8" w:space="0" w:color="000000"/>
              <w:bottom w:val="single" w:sz="8" w:space="0" w:color="000000"/>
              <w:right w:val="single" w:sz="8" w:space="0" w:color="000000"/>
            </w:tcBorders>
            <w:shd w:val="clear" w:color="auto" w:fill="auto"/>
          </w:tcPr>
          <w:p w14:paraId="5989AE8F"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2</w:t>
            </w:r>
          </w:p>
        </w:tc>
        <w:tc>
          <w:tcPr>
            <w:tcW w:w="2611" w:type="dxa"/>
            <w:tcBorders>
              <w:top w:val="single" w:sz="8" w:space="0" w:color="000000"/>
              <w:left w:val="single" w:sz="8" w:space="0" w:color="000000"/>
              <w:bottom w:val="single" w:sz="8" w:space="0" w:color="000000"/>
              <w:right w:val="single" w:sz="8" w:space="0" w:color="000000"/>
            </w:tcBorders>
            <w:shd w:val="clear" w:color="auto" w:fill="auto"/>
          </w:tcPr>
          <w:p w14:paraId="11FA8D00"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2</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14:paraId="540005CD"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100%</w:t>
            </w:r>
          </w:p>
        </w:tc>
      </w:tr>
      <w:tr w:rsidR="00B556DE" w:rsidRPr="00171C2D" w14:paraId="64BBF45D" w14:textId="77777777">
        <w:tc>
          <w:tcPr>
            <w:tcW w:w="2055" w:type="dxa"/>
            <w:tcBorders>
              <w:top w:val="single" w:sz="8" w:space="0" w:color="000000"/>
              <w:left w:val="single" w:sz="8" w:space="0" w:color="000000"/>
              <w:bottom w:val="single" w:sz="8" w:space="0" w:color="000000"/>
              <w:right w:val="single" w:sz="8" w:space="0" w:color="000000"/>
            </w:tcBorders>
            <w:shd w:val="clear" w:color="auto" w:fill="auto"/>
          </w:tcPr>
          <w:p w14:paraId="255919B6"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The Cynon Valley Party</w:t>
            </w:r>
          </w:p>
        </w:tc>
        <w:tc>
          <w:tcPr>
            <w:tcW w:w="2729" w:type="dxa"/>
            <w:tcBorders>
              <w:top w:val="single" w:sz="8" w:space="0" w:color="000000"/>
              <w:left w:val="single" w:sz="8" w:space="0" w:color="000000"/>
              <w:bottom w:val="single" w:sz="8" w:space="0" w:color="000000"/>
              <w:right w:val="single" w:sz="8" w:space="0" w:color="000000"/>
            </w:tcBorders>
            <w:shd w:val="clear" w:color="auto" w:fill="auto"/>
          </w:tcPr>
          <w:p w14:paraId="663C0E84"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2</w:t>
            </w:r>
          </w:p>
        </w:tc>
        <w:tc>
          <w:tcPr>
            <w:tcW w:w="2611" w:type="dxa"/>
            <w:tcBorders>
              <w:top w:val="single" w:sz="8" w:space="0" w:color="000000"/>
              <w:left w:val="single" w:sz="8" w:space="0" w:color="000000"/>
              <w:bottom w:val="single" w:sz="8" w:space="0" w:color="000000"/>
              <w:right w:val="single" w:sz="8" w:space="0" w:color="000000"/>
            </w:tcBorders>
            <w:shd w:val="clear" w:color="auto" w:fill="auto"/>
          </w:tcPr>
          <w:p w14:paraId="2905CF06"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1</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14:paraId="5EE3D053"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50%</w:t>
            </w:r>
          </w:p>
        </w:tc>
      </w:tr>
    </w:tbl>
    <w:p w14:paraId="5615FE3B" w14:textId="77777777" w:rsidR="00750E21" w:rsidRDefault="0038636C" w:rsidP="00750E21">
      <w:pPr>
        <w:rPr>
          <w:rFonts w:ascii="Avenir" w:eastAsia="Avenir" w:hAnsi="Avenir" w:cs="Avenir"/>
          <w:lang w:val="en-GB"/>
        </w:rPr>
      </w:pPr>
      <w:r w:rsidRPr="0038636C">
        <w:rPr>
          <w:rFonts w:ascii="Avenir" w:eastAsia="Avenir" w:hAnsi="Avenir" w:cs="Avenir"/>
          <w:i/>
          <w:iCs/>
          <w:highlight w:val="white"/>
          <w:lang w:val="en-GB"/>
        </w:rPr>
        <w:lastRenderedPageBreak/>
        <w:t>Source</w:t>
      </w:r>
      <w:r>
        <w:rPr>
          <w:rFonts w:ascii="Avenir" w:eastAsia="Avenir" w:hAnsi="Avenir" w:cs="Avenir"/>
          <w:highlight w:val="white"/>
          <w:lang w:val="en-GB"/>
        </w:rPr>
        <w:t xml:space="preserve">: </w:t>
      </w:r>
      <w:r w:rsidR="00750E21">
        <w:rPr>
          <w:rFonts w:ascii="Avenir" w:eastAsia="Avenir" w:hAnsi="Avenir" w:cs="Avenir"/>
          <w:lang w:val="en-GB"/>
        </w:rPr>
        <w:t>Authors´ analysis of invoices returned to the Electoral Commission for the 2019 General Election.</w:t>
      </w:r>
    </w:p>
    <w:p w14:paraId="199A896D" w14:textId="24C6FDB8" w:rsidR="00B556DE" w:rsidRDefault="00B556DE">
      <w:pPr>
        <w:jc w:val="both"/>
        <w:rPr>
          <w:rFonts w:ascii="Avenir" w:eastAsia="Avenir" w:hAnsi="Avenir" w:cs="Avenir"/>
          <w:highlight w:val="white"/>
          <w:lang w:val="en-GB"/>
        </w:rPr>
      </w:pPr>
    </w:p>
    <w:p w14:paraId="361F0A58" w14:textId="77777777" w:rsidR="0038636C" w:rsidRPr="00171C2D" w:rsidRDefault="0038636C">
      <w:pPr>
        <w:jc w:val="both"/>
        <w:rPr>
          <w:rFonts w:ascii="Avenir" w:eastAsia="Avenir" w:hAnsi="Avenir" w:cs="Avenir"/>
          <w:highlight w:val="white"/>
          <w:lang w:val="en-GB"/>
        </w:rPr>
      </w:pPr>
    </w:p>
    <w:p w14:paraId="5896D4D1" w14:textId="5356136E" w:rsidR="00B556DE" w:rsidRPr="00171C2D" w:rsidRDefault="000D6BB0">
      <w:pPr>
        <w:jc w:val="both"/>
        <w:rPr>
          <w:rFonts w:ascii="Avenir" w:eastAsia="Avenir" w:hAnsi="Avenir" w:cs="Avenir"/>
          <w:highlight w:val="white"/>
          <w:lang w:val="en-GB"/>
        </w:rPr>
      </w:pPr>
      <w:r w:rsidRPr="00171C2D">
        <w:rPr>
          <w:rFonts w:ascii="Avenir" w:eastAsia="Avenir" w:hAnsi="Avenir" w:cs="Avenir"/>
          <w:highlight w:val="white"/>
          <w:lang w:val="en-GB"/>
        </w:rPr>
        <w:t xml:space="preserve">These instances </w:t>
      </w:r>
      <w:r w:rsidR="00A74D3F" w:rsidRPr="00171C2D">
        <w:rPr>
          <w:rFonts w:ascii="Avenir" w:eastAsia="Avenir" w:hAnsi="Avenir" w:cs="Avenir"/>
          <w:highlight w:val="white"/>
          <w:lang w:val="en-GB"/>
        </w:rPr>
        <w:t>also</w:t>
      </w:r>
      <w:r w:rsidRPr="00171C2D">
        <w:rPr>
          <w:rFonts w:ascii="Avenir" w:eastAsia="Avenir" w:hAnsi="Avenir" w:cs="Avenir"/>
          <w:highlight w:val="white"/>
          <w:lang w:val="en-GB"/>
        </w:rPr>
        <w:t xml:space="preserve"> suggest that there is a case for the greater standardization of disclosure practice. This recommendation mirrors existing calls for ‘standardised disclosure forms’ in the US (</w:t>
      </w:r>
      <w:proofErr w:type="spellStart"/>
      <w:r w:rsidRPr="00171C2D">
        <w:rPr>
          <w:rFonts w:ascii="Avenir" w:eastAsia="Avenir" w:hAnsi="Avenir" w:cs="Avenir"/>
          <w:highlight w:val="white"/>
          <w:lang w:val="en-GB"/>
        </w:rPr>
        <w:t>Heerwig</w:t>
      </w:r>
      <w:proofErr w:type="spellEnd"/>
      <w:r w:rsidRPr="00171C2D">
        <w:rPr>
          <w:rFonts w:ascii="Avenir" w:eastAsia="Avenir" w:hAnsi="Avenir" w:cs="Avenir"/>
          <w:highlight w:val="white"/>
          <w:lang w:val="en-GB"/>
        </w:rPr>
        <w:t xml:space="preserve"> and Shaw 2014) or ‘common accounting practices’ in the UK (Power 2020b), that aim to reduce variation in the information released. Based on </w:t>
      </w:r>
      <w:r w:rsidR="00CB31BE" w:rsidRPr="00171C2D">
        <w:rPr>
          <w:rFonts w:ascii="Avenir" w:eastAsia="Avenir" w:hAnsi="Avenir" w:cs="Avenir"/>
          <w:highlight w:val="white"/>
          <w:lang w:val="en-GB"/>
        </w:rPr>
        <w:t>the</w:t>
      </w:r>
      <w:r w:rsidRPr="00171C2D">
        <w:rPr>
          <w:rFonts w:ascii="Avenir" w:eastAsia="Avenir" w:hAnsi="Avenir" w:cs="Avenir"/>
          <w:highlight w:val="white"/>
          <w:lang w:val="en-GB"/>
        </w:rPr>
        <w:t xml:space="preserve"> analysis, there appears to be a particular need to provide a common template for disclosure, but also to ensure that invoices are uploaded in the same format and resolution to ensure that they can be read. In addition, the existence of vague and uninformative invoice descriptions suggests the need for additional guidance on the level of detail that is required within the invoice description. At present in the UK, the Electoral Commission (2019: 27) states</w:t>
      </w:r>
      <w:r w:rsidRPr="00171C2D">
        <w:rPr>
          <w:rFonts w:ascii="Avenir" w:eastAsia="Avenir" w:hAnsi="Avenir" w:cs="Avenir"/>
          <w:sz w:val="24"/>
          <w:szCs w:val="24"/>
          <w:highlight w:val="white"/>
          <w:lang w:val="en-GB"/>
        </w:rPr>
        <w:t xml:space="preserve"> </w:t>
      </w:r>
      <w:r w:rsidRPr="00171C2D">
        <w:rPr>
          <w:rFonts w:ascii="Avenir" w:eastAsia="Avenir" w:hAnsi="Avenir" w:cs="Avenir"/>
          <w:highlight w:val="white"/>
          <w:lang w:val="en-GB"/>
        </w:rPr>
        <w:t xml:space="preserve">that invoices need to record ‘what the spending was for – for example, leaflets or advertising’. </w:t>
      </w:r>
      <w:r w:rsidR="00CB31BE" w:rsidRPr="00171C2D">
        <w:rPr>
          <w:rFonts w:ascii="Avenir" w:eastAsia="Avenir" w:hAnsi="Avenir" w:cs="Avenir"/>
          <w:highlight w:val="white"/>
          <w:lang w:val="en-GB"/>
        </w:rPr>
        <w:t>The</w:t>
      </w:r>
      <w:r w:rsidRPr="00171C2D">
        <w:rPr>
          <w:rFonts w:ascii="Avenir" w:eastAsia="Avenir" w:hAnsi="Avenir" w:cs="Avenir"/>
          <w:highlight w:val="white"/>
          <w:lang w:val="en-GB"/>
        </w:rPr>
        <w:t xml:space="preserve"> findings </w:t>
      </w:r>
      <w:r w:rsidR="00CB31BE" w:rsidRPr="00171C2D">
        <w:rPr>
          <w:rFonts w:ascii="Avenir" w:eastAsia="Avenir" w:hAnsi="Avenir" w:cs="Avenir"/>
          <w:highlight w:val="white"/>
          <w:lang w:val="en-GB"/>
        </w:rPr>
        <w:t xml:space="preserve">from this study </w:t>
      </w:r>
      <w:r w:rsidRPr="00171C2D">
        <w:rPr>
          <w:rFonts w:ascii="Avenir" w:eastAsia="Avenir" w:hAnsi="Avenir" w:cs="Avenir"/>
          <w:highlight w:val="white"/>
          <w:lang w:val="en-GB"/>
        </w:rPr>
        <w:t xml:space="preserve">suggest that there is a need to specify further granularity of services, calling for precise detail of what the spending was for, with a full description of the range of tasks conducted by the supplier. To aid compliance, examples should be provided that illustrate the need to avoid catch-all descriptions, and to provide more specific accounts of the range of tasks conducted. EMBs may also want to consider expanding the transparency regime to require not just political parties, but also suppliers to complete returns detailing commercial activity within the election period. </w:t>
      </w:r>
    </w:p>
    <w:p w14:paraId="2D6F34F0" w14:textId="77777777" w:rsidR="00B556DE" w:rsidRPr="00171C2D" w:rsidRDefault="00B556DE">
      <w:pPr>
        <w:jc w:val="both"/>
        <w:rPr>
          <w:rFonts w:ascii="Avenir" w:eastAsia="Avenir" w:hAnsi="Avenir" w:cs="Avenir"/>
          <w:highlight w:val="white"/>
          <w:lang w:val="en-GB"/>
        </w:rPr>
      </w:pPr>
    </w:p>
    <w:p w14:paraId="1E4E9AF4" w14:textId="7191FA50" w:rsidR="00B556DE" w:rsidRPr="00171C2D" w:rsidRDefault="000D6BB0">
      <w:pPr>
        <w:jc w:val="both"/>
        <w:rPr>
          <w:rFonts w:ascii="Avenir" w:eastAsia="Avenir" w:hAnsi="Avenir" w:cs="Avenir"/>
          <w:highlight w:val="white"/>
          <w:lang w:val="en-GB"/>
        </w:rPr>
      </w:pPr>
      <w:r w:rsidRPr="00171C2D">
        <w:rPr>
          <w:rFonts w:ascii="Avenir" w:eastAsia="Avenir" w:hAnsi="Avenir" w:cs="Avenir"/>
          <w:highlight w:val="white"/>
          <w:lang w:val="en-GB"/>
        </w:rPr>
        <w:t>In addition to these recommendations, this report also draws on the experience of conducting this analysis to make a further recommendation around the accessibility of this data for researchers. At present in the UK, the Electoral Commission makes it possible to download a .csv file detailing the spending figures and categories, and yet it is not possible to bulk-download the invoices. This means each individual invoice needs to be clicked on manually, opening a new window. To enable future analysis, electoral regulators internationally should facilitate the analysis of invoices, making it possible to download this resource. It would also be beneficial to explore text extraction from these invoices to allow researchers to conduct keyword searches on the</w:t>
      </w:r>
      <w:r w:rsidR="00537B1A" w:rsidRPr="00171C2D">
        <w:rPr>
          <w:rFonts w:ascii="Avenir" w:eastAsia="Avenir" w:hAnsi="Avenir" w:cs="Avenir"/>
          <w:highlight w:val="white"/>
          <w:lang w:val="en-GB"/>
        </w:rPr>
        <w:t>ir</w:t>
      </w:r>
      <w:r w:rsidRPr="00171C2D">
        <w:rPr>
          <w:rFonts w:ascii="Avenir" w:eastAsia="Avenir" w:hAnsi="Avenir" w:cs="Avenir"/>
          <w:highlight w:val="white"/>
          <w:lang w:val="en-GB"/>
        </w:rPr>
        <w:t xml:space="preserve"> content. Mirroring best practice in the USA (FEC n.d.), it is recommended that electoral regulators should establish an application programming interface (API), which will better allow researchers (and interested observers) a more </w:t>
      </w:r>
      <w:r w:rsidR="004A2A19" w:rsidRPr="00171C2D">
        <w:rPr>
          <w:rFonts w:ascii="Avenir" w:eastAsia="Avenir" w:hAnsi="Avenir" w:cs="Avenir"/>
          <w:highlight w:val="white"/>
          <w:lang w:val="en-GB"/>
        </w:rPr>
        <w:t xml:space="preserve">efficient </w:t>
      </w:r>
      <w:r w:rsidRPr="00171C2D">
        <w:rPr>
          <w:rFonts w:ascii="Avenir" w:eastAsia="Avenir" w:hAnsi="Avenir" w:cs="Avenir"/>
          <w:highlight w:val="white"/>
          <w:lang w:val="en-GB"/>
        </w:rPr>
        <w:t xml:space="preserve">way of exploring how campaigns are fought and funded. Where possible, EMBs across the world should also request detailed and standardized invoices, and where they already do, make these accessible to researchers. </w:t>
      </w:r>
    </w:p>
    <w:p w14:paraId="489B4C38" w14:textId="77777777" w:rsidR="00B556DE" w:rsidRPr="00171C2D" w:rsidRDefault="00B556DE">
      <w:pPr>
        <w:jc w:val="both"/>
        <w:rPr>
          <w:rFonts w:ascii="Avenir" w:eastAsia="Avenir" w:hAnsi="Avenir" w:cs="Avenir"/>
          <w:highlight w:val="white"/>
          <w:lang w:val="en-GB"/>
        </w:rPr>
      </w:pPr>
    </w:p>
    <w:p w14:paraId="53272600" w14:textId="32DFD895" w:rsidR="00B556DE" w:rsidRPr="00171C2D" w:rsidRDefault="003F4636">
      <w:pPr>
        <w:jc w:val="both"/>
        <w:rPr>
          <w:rFonts w:ascii="Avenir" w:eastAsia="Avenir" w:hAnsi="Avenir" w:cs="Avenir"/>
          <w:b/>
          <w:highlight w:val="white"/>
          <w:lang w:val="en-GB"/>
        </w:rPr>
      </w:pPr>
      <w:r w:rsidRPr="00171C2D">
        <w:rPr>
          <w:rFonts w:ascii="Avenir" w:eastAsia="Avenir" w:hAnsi="Avenir" w:cs="Avenir"/>
          <w:b/>
          <w:highlight w:val="white"/>
          <w:lang w:val="en-GB"/>
        </w:rPr>
        <w:t xml:space="preserve">Considerations for the </w:t>
      </w:r>
      <w:r w:rsidR="000D6BB0" w:rsidRPr="00171C2D">
        <w:rPr>
          <w:rFonts w:ascii="Avenir" w:eastAsia="Avenir" w:hAnsi="Avenir" w:cs="Avenir"/>
          <w:b/>
          <w:highlight w:val="white"/>
          <w:lang w:val="en-GB"/>
        </w:rPr>
        <w:t xml:space="preserve">UK Electoral Commission </w:t>
      </w:r>
    </w:p>
    <w:p w14:paraId="1FE9BD1F" w14:textId="77777777" w:rsidR="00B556DE" w:rsidRPr="00171C2D" w:rsidRDefault="000D6BB0">
      <w:pPr>
        <w:numPr>
          <w:ilvl w:val="0"/>
          <w:numId w:val="51"/>
        </w:numPr>
        <w:jc w:val="both"/>
        <w:rPr>
          <w:rFonts w:ascii="Avenir" w:eastAsia="Avenir" w:hAnsi="Avenir" w:cs="Avenir"/>
          <w:highlight w:val="white"/>
          <w:lang w:val="en-GB"/>
        </w:rPr>
      </w:pPr>
      <w:r w:rsidRPr="00171C2D">
        <w:rPr>
          <w:rFonts w:ascii="Avenir" w:eastAsia="Avenir" w:hAnsi="Avenir" w:cs="Avenir"/>
          <w:highlight w:val="white"/>
          <w:lang w:val="en-GB"/>
        </w:rPr>
        <w:t>Create a standard template for invoices for election expenses to ensure consistency in reporting and formatting.</w:t>
      </w:r>
    </w:p>
    <w:p w14:paraId="6509100C" w14:textId="77777777" w:rsidR="00B556DE" w:rsidRPr="00171C2D" w:rsidRDefault="000D6BB0">
      <w:pPr>
        <w:numPr>
          <w:ilvl w:val="0"/>
          <w:numId w:val="51"/>
        </w:numPr>
        <w:jc w:val="both"/>
        <w:rPr>
          <w:rFonts w:ascii="Avenir" w:eastAsia="Avenir" w:hAnsi="Avenir" w:cs="Avenir"/>
          <w:highlight w:val="white"/>
          <w:lang w:val="en-GB"/>
        </w:rPr>
      </w:pPr>
      <w:r w:rsidRPr="00171C2D">
        <w:rPr>
          <w:rFonts w:ascii="Avenir" w:eastAsia="Avenir" w:hAnsi="Avenir" w:cs="Avenir"/>
          <w:highlight w:val="white"/>
          <w:lang w:val="en-GB"/>
        </w:rPr>
        <w:t xml:space="preserve">Produce standard guidance for the uploading of invoice images to ensure that all images are clear and consistently formatted. </w:t>
      </w:r>
    </w:p>
    <w:p w14:paraId="27B988A2" w14:textId="77777777" w:rsidR="00B556DE" w:rsidRPr="00171C2D" w:rsidRDefault="000D6BB0">
      <w:pPr>
        <w:numPr>
          <w:ilvl w:val="0"/>
          <w:numId w:val="51"/>
        </w:numPr>
        <w:jc w:val="both"/>
        <w:rPr>
          <w:rFonts w:ascii="Avenir" w:eastAsia="Avenir" w:hAnsi="Avenir" w:cs="Avenir"/>
          <w:highlight w:val="white"/>
          <w:lang w:val="en-GB"/>
        </w:rPr>
      </w:pPr>
      <w:r w:rsidRPr="00171C2D">
        <w:rPr>
          <w:rFonts w:ascii="Avenir" w:eastAsia="Avenir" w:hAnsi="Avenir" w:cs="Avenir"/>
          <w:highlight w:val="white"/>
          <w:lang w:val="en-GB"/>
        </w:rPr>
        <w:t xml:space="preserve">Update existing guidance for parties on the detail required for spending returns, to ensure that specific items of expenditure are included. </w:t>
      </w:r>
    </w:p>
    <w:p w14:paraId="13BB7463" w14:textId="77777777" w:rsidR="00B556DE" w:rsidRPr="00171C2D" w:rsidRDefault="000D6BB0">
      <w:pPr>
        <w:numPr>
          <w:ilvl w:val="0"/>
          <w:numId w:val="41"/>
        </w:numPr>
        <w:jc w:val="both"/>
        <w:rPr>
          <w:rFonts w:ascii="Avenir" w:eastAsia="Avenir" w:hAnsi="Avenir" w:cs="Avenir"/>
          <w:highlight w:val="white"/>
          <w:lang w:val="en-GB"/>
        </w:rPr>
      </w:pPr>
      <w:r w:rsidRPr="00171C2D">
        <w:rPr>
          <w:rFonts w:ascii="Avenir" w:eastAsia="Avenir" w:hAnsi="Avenir" w:cs="Avenir"/>
          <w:highlight w:val="white"/>
          <w:lang w:val="en-GB"/>
        </w:rPr>
        <w:lastRenderedPageBreak/>
        <w:t xml:space="preserve">Configure transparency databases to ensure that researchers can easily access and analyse invoices, particularly looking to enable mass download and text extraction. </w:t>
      </w:r>
    </w:p>
    <w:p w14:paraId="196CC306" w14:textId="77777777" w:rsidR="00B556DE" w:rsidRPr="00171C2D" w:rsidRDefault="000D6BB0">
      <w:pPr>
        <w:numPr>
          <w:ilvl w:val="0"/>
          <w:numId w:val="46"/>
        </w:numPr>
        <w:jc w:val="both"/>
        <w:rPr>
          <w:rFonts w:ascii="Avenir" w:eastAsia="Avenir" w:hAnsi="Avenir" w:cs="Avenir"/>
          <w:highlight w:val="white"/>
          <w:lang w:val="en-GB"/>
        </w:rPr>
      </w:pPr>
      <w:r w:rsidRPr="00171C2D">
        <w:rPr>
          <w:rFonts w:ascii="Avenir" w:eastAsia="Avenir" w:hAnsi="Avenir" w:cs="Avenir"/>
          <w:highlight w:val="white"/>
          <w:lang w:val="en-GB"/>
        </w:rPr>
        <w:t xml:space="preserve">Explore possibilities for expanding the transparency regime to require not just political parties, but also suppliers to complete returns detailing commercial activity within the election period. </w:t>
      </w:r>
    </w:p>
    <w:p w14:paraId="7C827479" w14:textId="77777777" w:rsidR="00B556DE" w:rsidRPr="00171C2D" w:rsidRDefault="00B556DE">
      <w:pPr>
        <w:jc w:val="both"/>
        <w:rPr>
          <w:rFonts w:ascii="Avenir" w:eastAsia="Avenir" w:hAnsi="Avenir" w:cs="Avenir"/>
          <w:highlight w:val="white"/>
          <w:lang w:val="en-GB"/>
        </w:rPr>
      </w:pPr>
    </w:p>
    <w:p w14:paraId="33BB481C" w14:textId="2F92978E" w:rsidR="00B556DE" w:rsidRPr="00171C2D" w:rsidRDefault="003F4636">
      <w:pPr>
        <w:jc w:val="both"/>
        <w:rPr>
          <w:rFonts w:ascii="Avenir" w:eastAsia="Avenir" w:hAnsi="Avenir" w:cs="Avenir"/>
          <w:b/>
          <w:bCs/>
          <w:highlight w:val="white"/>
          <w:lang w:val="en-GB"/>
        </w:rPr>
      </w:pPr>
      <w:r w:rsidRPr="00171C2D">
        <w:rPr>
          <w:rFonts w:ascii="Avenir" w:eastAsia="Avenir" w:hAnsi="Avenir" w:cs="Avenir"/>
          <w:b/>
          <w:bCs/>
          <w:highlight w:val="white"/>
          <w:lang w:val="en-GB"/>
        </w:rPr>
        <w:t xml:space="preserve">Considerations for </w:t>
      </w:r>
      <w:r w:rsidR="0038636C">
        <w:rPr>
          <w:rFonts w:ascii="Avenir" w:eastAsia="Avenir" w:hAnsi="Avenir" w:cs="Avenir"/>
          <w:b/>
          <w:bCs/>
          <w:highlight w:val="white"/>
          <w:lang w:val="en-GB"/>
        </w:rPr>
        <w:t>p</w:t>
      </w:r>
      <w:r w:rsidR="000D6BB0" w:rsidRPr="00171C2D">
        <w:rPr>
          <w:rFonts w:ascii="Avenir" w:eastAsia="Avenir" w:hAnsi="Avenir" w:cs="Avenir"/>
          <w:b/>
          <w:bCs/>
          <w:highlight w:val="white"/>
          <w:lang w:val="en-GB"/>
        </w:rPr>
        <w:t>olitical parties</w:t>
      </w:r>
    </w:p>
    <w:p w14:paraId="32CA2148" w14:textId="77777777" w:rsidR="00B556DE" w:rsidRPr="00171C2D" w:rsidRDefault="000D6BB0">
      <w:pPr>
        <w:numPr>
          <w:ilvl w:val="0"/>
          <w:numId w:val="41"/>
        </w:numPr>
        <w:jc w:val="both"/>
        <w:rPr>
          <w:rFonts w:ascii="Avenir" w:eastAsia="Avenir" w:hAnsi="Avenir" w:cs="Avenir"/>
          <w:highlight w:val="white"/>
          <w:lang w:val="en-GB"/>
        </w:rPr>
      </w:pPr>
      <w:r w:rsidRPr="00171C2D">
        <w:rPr>
          <w:rFonts w:ascii="Avenir" w:eastAsia="Avenir" w:hAnsi="Avenir" w:cs="Avenir"/>
          <w:highlight w:val="white"/>
          <w:lang w:val="en-GB"/>
        </w:rPr>
        <w:t xml:space="preserve">Work with EMBs/political finance oversight bodies to provide training and support for employees who upload invoices to ensure that they meet best practice standards. </w:t>
      </w:r>
    </w:p>
    <w:p w14:paraId="0F6B8919" w14:textId="77777777" w:rsidR="00B556DE" w:rsidRPr="00171C2D" w:rsidRDefault="000D6BB0">
      <w:pPr>
        <w:numPr>
          <w:ilvl w:val="0"/>
          <w:numId w:val="41"/>
        </w:numPr>
        <w:jc w:val="both"/>
        <w:rPr>
          <w:rFonts w:ascii="Avenir" w:eastAsia="Avenir" w:hAnsi="Avenir" w:cs="Avenir"/>
          <w:lang w:val="en-GB"/>
        </w:rPr>
      </w:pPr>
      <w:r w:rsidRPr="00171C2D">
        <w:rPr>
          <w:rFonts w:ascii="Avenir" w:eastAsia="Avenir" w:hAnsi="Avenir" w:cs="Avenir"/>
          <w:lang w:val="en-GB"/>
        </w:rPr>
        <w:t xml:space="preserve">Record more precisely what roles suppliers are performing for them to allow more accurate classification of campaign activity. </w:t>
      </w:r>
    </w:p>
    <w:p w14:paraId="2B773191" w14:textId="624F9FE5" w:rsidR="00B556DE" w:rsidRPr="00171C2D" w:rsidRDefault="000D6BB0">
      <w:pPr>
        <w:numPr>
          <w:ilvl w:val="0"/>
          <w:numId w:val="41"/>
        </w:numPr>
        <w:jc w:val="both"/>
        <w:rPr>
          <w:rFonts w:ascii="Avenir" w:eastAsia="Avenir" w:hAnsi="Avenir" w:cs="Avenir"/>
          <w:lang w:val="en-GB"/>
        </w:rPr>
      </w:pPr>
      <w:r w:rsidRPr="00171C2D">
        <w:rPr>
          <w:rFonts w:ascii="Avenir" w:eastAsia="Avenir" w:hAnsi="Avenir" w:cs="Avenir"/>
          <w:lang w:val="en-GB"/>
        </w:rPr>
        <w:t>Take ownership in establishing best practice</w:t>
      </w:r>
      <w:r w:rsidR="00344F1D" w:rsidRPr="00171C2D">
        <w:rPr>
          <w:rFonts w:ascii="Avenir" w:eastAsia="Avenir" w:hAnsi="Avenir" w:cs="Avenir"/>
          <w:lang w:val="en-GB"/>
        </w:rPr>
        <w:t>s</w:t>
      </w:r>
      <w:r w:rsidRPr="00171C2D">
        <w:rPr>
          <w:rFonts w:ascii="Avenir" w:eastAsia="Avenir" w:hAnsi="Avenir" w:cs="Avenir"/>
          <w:lang w:val="en-GB"/>
        </w:rPr>
        <w:t xml:space="preserve"> to minimize unclear invoice returns. </w:t>
      </w:r>
    </w:p>
    <w:p w14:paraId="16B544F8" w14:textId="77777777" w:rsidR="00B556DE" w:rsidRPr="00171C2D" w:rsidRDefault="000D6BB0">
      <w:pPr>
        <w:numPr>
          <w:ilvl w:val="0"/>
          <w:numId w:val="41"/>
        </w:numPr>
        <w:jc w:val="both"/>
        <w:rPr>
          <w:rFonts w:ascii="Avenir" w:eastAsia="Avenir" w:hAnsi="Avenir" w:cs="Avenir"/>
          <w:lang w:val="en-GB"/>
        </w:rPr>
      </w:pPr>
      <w:r w:rsidRPr="00171C2D">
        <w:rPr>
          <w:rFonts w:ascii="Avenir" w:eastAsia="Avenir" w:hAnsi="Avenir" w:cs="Avenir"/>
          <w:lang w:val="en-GB"/>
        </w:rPr>
        <w:t>Where legislation does not require it, political parties should provide standardized invoices to suppliers.</w:t>
      </w:r>
    </w:p>
    <w:p w14:paraId="4323A7E6" w14:textId="77777777" w:rsidR="00B556DE" w:rsidRPr="00171C2D" w:rsidRDefault="000D6BB0">
      <w:pPr>
        <w:numPr>
          <w:ilvl w:val="0"/>
          <w:numId w:val="41"/>
        </w:numPr>
        <w:jc w:val="both"/>
        <w:rPr>
          <w:rFonts w:ascii="Avenir" w:eastAsia="Avenir" w:hAnsi="Avenir" w:cs="Avenir"/>
          <w:lang w:val="en-GB"/>
        </w:rPr>
      </w:pPr>
      <w:r w:rsidRPr="00171C2D">
        <w:rPr>
          <w:rFonts w:ascii="Avenir" w:eastAsia="Avenir" w:hAnsi="Avenir" w:cs="Avenir"/>
          <w:lang w:val="en-GB"/>
        </w:rPr>
        <w:t>On agreement of provision of service, political parties should make clear the level of detail that suppliers should state on invoices about the service they perform.</w:t>
      </w:r>
      <w:bookmarkStart w:id="6" w:name="_Hlk98171029"/>
      <w:bookmarkEnd w:id="6"/>
    </w:p>
    <w:p w14:paraId="49ECF92C" w14:textId="77777777" w:rsidR="00B556DE" w:rsidRPr="00171C2D" w:rsidRDefault="00B556DE">
      <w:pPr>
        <w:jc w:val="both"/>
        <w:rPr>
          <w:rFonts w:ascii="Avenir" w:eastAsia="Avenir" w:hAnsi="Avenir" w:cs="Avenir"/>
          <w:b/>
          <w:u w:val="single"/>
          <w:lang w:val="en-GB"/>
        </w:rPr>
      </w:pPr>
    </w:p>
    <w:tbl>
      <w:tblPr>
        <w:tblW w:w="9360" w:type="dxa"/>
        <w:tblCellMar>
          <w:top w:w="100" w:type="dxa"/>
          <w:left w:w="100" w:type="dxa"/>
          <w:bottom w:w="100" w:type="dxa"/>
          <w:right w:w="100" w:type="dxa"/>
        </w:tblCellMar>
        <w:tblLook w:val="0600" w:firstRow="0" w:lastRow="0" w:firstColumn="0" w:lastColumn="0" w:noHBand="1" w:noVBand="1"/>
      </w:tblPr>
      <w:tblGrid>
        <w:gridCol w:w="9360"/>
      </w:tblGrid>
      <w:tr w:rsidR="00B556DE" w:rsidRPr="00171C2D" w14:paraId="5F948D88" w14:textId="77777777">
        <w:tc>
          <w:tcPr>
            <w:tcW w:w="9360" w:type="dxa"/>
            <w:tcBorders>
              <w:top w:val="single" w:sz="8" w:space="0" w:color="000000"/>
              <w:left w:val="single" w:sz="8" w:space="0" w:color="000000"/>
              <w:bottom w:val="single" w:sz="8" w:space="0" w:color="000000"/>
              <w:right w:val="single" w:sz="8" w:space="0" w:color="000000"/>
            </w:tcBorders>
            <w:shd w:val="clear" w:color="auto" w:fill="auto"/>
          </w:tcPr>
          <w:p w14:paraId="231FE5ED" w14:textId="77777777" w:rsidR="00B556DE" w:rsidRPr="007E2213" w:rsidRDefault="000D6BB0">
            <w:pPr>
              <w:widowControl w:val="0"/>
              <w:spacing w:line="240" w:lineRule="auto"/>
              <w:rPr>
                <w:rFonts w:ascii="Avenir" w:eastAsia="Avenir" w:hAnsi="Avenir" w:cs="Avenir"/>
                <w:bCs/>
                <w:lang w:val="en-GB"/>
              </w:rPr>
            </w:pPr>
            <w:r w:rsidRPr="007E2213">
              <w:rPr>
                <w:rFonts w:ascii="Avenir" w:eastAsia="Avenir" w:hAnsi="Avenir" w:cs="Avenir"/>
                <w:b/>
                <w:lang w:val="en-GB"/>
              </w:rPr>
              <w:t>Section summary</w:t>
            </w:r>
          </w:p>
          <w:p w14:paraId="19C47FE1" w14:textId="77777777" w:rsidR="00B556DE" w:rsidRPr="007E2213" w:rsidRDefault="00B556DE">
            <w:pPr>
              <w:widowControl w:val="0"/>
              <w:spacing w:line="240" w:lineRule="auto"/>
              <w:rPr>
                <w:rFonts w:ascii="Avenir" w:eastAsia="Avenir" w:hAnsi="Avenir" w:cs="Avenir"/>
                <w:bCs/>
                <w:lang w:val="en-GB"/>
              </w:rPr>
            </w:pPr>
          </w:p>
          <w:p w14:paraId="226A98DB" w14:textId="1CA97AE7" w:rsidR="00B556DE" w:rsidRPr="007E2213" w:rsidRDefault="000D6BB0" w:rsidP="007E2213">
            <w:pPr>
              <w:widowControl w:val="0"/>
              <w:numPr>
                <w:ilvl w:val="0"/>
                <w:numId w:val="27"/>
              </w:numPr>
              <w:spacing w:line="240" w:lineRule="auto"/>
              <w:rPr>
                <w:rFonts w:ascii="Avenir" w:eastAsia="Avenir" w:hAnsi="Avenir" w:cs="Avenir"/>
                <w:bCs/>
                <w:lang w:val="en-GB"/>
              </w:rPr>
            </w:pPr>
            <w:r w:rsidRPr="007E2213">
              <w:rPr>
                <w:rFonts w:ascii="Avenir" w:eastAsia="Avenir" w:hAnsi="Avenir" w:cs="Avenir"/>
                <w:bCs/>
                <w:lang w:val="en-GB"/>
              </w:rPr>
              <w:t>More than two in five suppliers provided at least one invoice that didn’t clearly indicate the service that they were providing.</w:t>
            </w:r>
          </w:p>
          <w:p w14:paraId="6E76D349" w14:textId="25B1B2F6" w:rsidR="00B556DE" w:rsidRPr="00171C2D" w:rsidRDefault="000D6BB0" w:rsidP="007E2213">
            <w:pPr>
              <w:widowControl w:val="0"/>
              <w:numPr>
                <w:ilvl w:val="0"/>
                <w:numId w:val="27"/>
              </w:numPr>
              <w:spacing w:line="240" w:lineRule="auto"/>
              <w:rPr>
                <w:rFonts w:ascii="Avenir" w:eastAsia="Avenir" w:hAnsi="Avenir" w:cs="Avenir"/>
                <w:b/>
                <w:lang w:val="en-GB"/>
              </w:rPr>
            </w:pPr>
            <w:r w:rsidRPr="007E2213">
              <w:rPr>
                <w:rFonts w:ascii="Avenir" w:eastAsia="Avenir" w:hAnsi="Avenir" w:cs="Avenir"/>
                <w:bCs/>
                <w:lang w:val="en-GB"/>
              </w:rPr>
              <w:t>This was largely due to the prevalence of Conservative Party Constituency Associations, which didn’t report any spend (48.6 per</w:t>
            </w:r>
            <w:r w:rsidR="007E2213">
              <w:rPr>
                <w:rFonts w:ascii="Avenir" w:eastAsia="Avenir" w:hAnsi="Avenir" w:cs="Avenir"/>
                <w:bCs/>
                <w:lang w:val="en-GB"/>
              </w:rPr>
              <w:t xml:space="preserve"> </w:t>
            </w:r>
            <w:r w:rsidRPr="007E2213">
              <w:rPr>
                <w:rFonts w:ascii="Avenir" w:eastAsia="Avenir" w:hAnsi="Avenir" w:cs="Avenir"/>
                <w:bCs/>
                <w:lang w:val="en-GB"/>
              </w:rPr>
              <w:t>cent), although a significant number of suppliers also provided at least one blank invoice (17.1 per</w:t>
            </w:r>
            <w:r w:rsidR="007E2213">
              <w:rPr>
                <w:rFonts w:ascii="Avenir" w:eastAsia="Avenir" w:hAnsi="Avenir" w:cs="Avenir"/>
                <w:bCs/>
                <w:lang w:val="en-GB"/>
              </w:rPr>
              <w:t xml:space="preserve"> </w:t>
            </w:r>
            <w:r w:rsidRPr="007E2213">
              <w:rPr>
                <w:rFonts w:ascii="Avenir" w:eastAsia="Avenir" w:hAnsi="Avenir" w:cs="Avenir"/>
                <w:bCs/>
                <w:lang w:val="en-GB"/>
              </w:rPr>
              <w:t>cent).</w:t>
            </w:r>
          </w:p>
        </w:tc>
      </w:tr>
    </w:tbl>
    <w:p w14:paraId="6106778A" w14:textId="77777777" w:rsidR="00B556DE" w:rsidRPr="00171C2D" w:rsidRDefault="00B556DE">
      <w:pPr>
        <w:jc w:val="both"/>
        <w:rPr>
          <w:rFonts w:ascii="Avenir" w:eastAsia="Avenir" w:hAnsi="Avenir" w:cs="Avenir"/>
          <w:b/>
          <w:highlight w:val="white"/>
          <w:lang w:val="en-GB"/>
        </w:rPr>
      </w:pPr>
    </w:p>
    <w:p w14:paraId="5024E0DE" w14:textId="77777777" w:rsidR="00B556DE" w:rsidRPr="00171C2D" w:rsidRDefault="000D6BB0">
      <w:pPr>
        <w:pStyle w:val="Heading3"/>
        <w:numPr>
          <w:ilvl w:val="1"/>
          <w:numId w:val="59"/>
        </w:numPr>
        <w:tabs>
          <w:tab w:val="left" w:pos="2127"/>
        </w:tabs>
        <w:rPr>
          <w:color w:val="auto"/>
          <w:highlight w:val="white"/>
          <w:lang w:val="en-GB"/>
        </w:rPr>
      </w:pPr>
      <w:r w:rsidRPr="00171C2D">
        <w:rPr>
          <w:color w:val="auto"/>
          <w:highlight w:val="white"/>
          <w:lang w:val="en-GB"/>
        </w:rPr>
        <w:t>Current sanctions against parties made by the UK Electoral Commission for non-compliant spending returns</w:t>
      </w:r>
    </w:p>
    <w:p w14:paraId="1B2981C1" w14:textId="3677355E" w:rsidR="00B556DE" w:rsidRPr="00171C2D" w:rsidRDefault="000D6BB0">
      <w:pPr>
        <w:jc w:val="both"/>
        <w:rPr>
          <w:rFonts w:ascii="Avenir" w:eastAsia="Avenir" w:hAnsi="Avenir" w:cs="Avenir"/>
          <w:highlight w:val="white"/>
          <w:lang w:val="en-GB"/>
        </w:rPr>
      </w:pPr>
      <w:r w:rsidRPr="00171C2D">
        <w:rPr>
          <w:rFonts w:ascii="Avenir" w:eastAsia="Avenir" w:hAnsi="Avenir" w:cs="Avenir"/>
          <w:highlight w:val="white"/>
          <w:lang w:val="en-GB"/>
        </w:rPr>
        <w:t xml:space="preserve">As well as reporting campaign donations and spending over a certain threshold, the Electoral Commission is also responsible for investigating cases of campaigns not properly disclosing their financial arrangements. In terms of campaign spending, this means failing to provide a complete and accurate account of all instances of spending over </w:t>
      </w:r>
      <w:r w:rsidR="009014F3">
        <w:rPr>
          <w:rFonts w:ascii="Avenir" w:eastAsia="Avenir" w:hAnsi="Avenir" w:cs="Avenir"/>
          <w:highlight w:val="white"/>
          <w:lang w:val="en-GB"/>
        </w:rPr>
        <w:t>GBP </w:t>
      </w:r>
      <w:r w:rsidRPr="00171C2D">
        <w:rPr>
          <w:rFonts w:ascii="Avenir" w:eastAsia="Avenir" w:hAnsi="Avenir" w:cs="Avenir"/>
          <w:highlight w:val="white"/>
          <w:lang w:val="en-GB"/>
        </w:rPr>
        <w:t>200 within the specified timeframe. Investigations arise through a combination of: (a)</w:t>
      </w:r>
      <w:r w:rsidR="00AB5DE4">
        <w:rPr>
          <w:rFonts w:ascii="Avenir" w:eastAsia="Avenir" w:hAnsi="Avenir" w:cs="Avenir"/>
          <w:highlight w:val="white"/>
          <w:lang w:val="en-GB"/>
        </w:rPr>
        <w:t> </w:t>
      </w:r>
      <w:r w:rsidRPr="00171C2D">
        <w:rPr>
          <w:rFonts w:ascii="Avenir" w:eastAsia="Avenir" w:hAnsi="Avenir" w:cs="Avenir"/>
          <w:highlight w:val="white"/>
          <w:lang w:val="en-GB"/>
        </w:rPr>
        <w:t>proactively monitoring compliance with PPERA; (b)</w:t>
      </w:r>
      <w:r w:rsidR="00AB5DE4">
        <w:rPr>
          <w:rFonts w:ascii="Avenir" w:eastAsia="Avenir" w:hAnsi="Avenir" w:cs="Avenir"/>
          <w:highlight w:val="white"/>
          <w:lang w:val="en-GB"/>
        </w:rPr>
        <w:t> </w:t>
      </w:r>
      <w:r w:rsidRPr="00171C2D">
        <w:rPr>
          <w:rFonts w:ascii="Avenir" w:eastAsia="Avenir" w:hAnsi="Avenir" w:cs="Avenir"/>
          <w:highlight w:val="white"/>
          <w:lang w:val="en-GB"/>
        </w:rPr>
        <w:t>acting upon complaints (Electoral Commission 2016b) that campaign organizations have broken the law; and (c)</w:t>
      </w:r>
      <w:r w:rsidR="00AB5DE4">
        <w:rPr>
          <w:rFonts w:ascii="Avenir" w:eastAsia="Avenir" w:hAnsi="Avenir" w:cs="Avenir"/>
          <w:highlight w:val="white"/>
          <w:lang w:val="en-GB"/>
        </w:rPr>
        <w:t> </w:t>
      </w:r>
      <w:r w:rsidRPr="00171C2D">
        <w:rPr>
          <w:rFonts w:ascii="Avenir" w:eastAsia="Avenir" w:hAnsi="Avenir" w:cs="Avenir"/>
          <w:highlight w:val="white"/>
          <w:lang w:val="en-GB"/>
        </w:rPr>
        <w:t>acting upon evidence from media reports (Electoral Commission 2016b) and other regulators. The Electoral Commission then decides whether to open a formal investigation based on the severity of the offence (Electoral Commission 2021) and the strength of the evidence, as well as whether the party in question has a history of non-compliance and has not yet taken steps to rectify their malpractice. The results of these investigations are published on the Electoral Commission’s website, alongside investigations into other aspects of malpractice, such as the improper declaration of political donations.</w:t>
      </w:r>
    </w:p>
    <w:p w14:paraId="2263935F" w14:textId="77777777" w:rsidR="00B556DE" w:rsidRPr="00171C2D" w:rsidRDefault="00B556DE">
      <w:pPr>
        <w:jc w:val="both"/>
        <w:rPr>
          <w:rFonts w:ascii="Avenir" w:eastAsia="Avenir" w:hAnsi="Avenir" w:cs="Avenir"/>
          <w:highlight w:val="white"/>
          <w:lang w:val="en-GB"/>
        </w:rPr>
      </w:pPr>
    </w:p>
    <w:p w14:paraId="61195736" w14:textId="7C6A85E8" w:rsidR="00B556DE" w:rsidRPr="00171C2D" w:rsidRDefault="000D6BB0">
      <w:pPr>
        <w:jc w:val="both"/>
        <w:rPr>
          <w:rFonts w:ascii="Avenir" w:eastAsia="Avenir" w:hAnsi="Avenir" w:cs="Avenir"/>
          <w:highlight w:val="white"/>
          <w:lang w:val="en-GB"/>
        </w:rPr>
      </w:pPr>
      <w:r w:rsidRPr="00171C2D">
        <w:rPr>
          <w:rFonts w:ascii="Avenir" w:eastAsia="Avenir" w:hAnsi="Avenir" w:cs="Avenir"/>
          <w:highlight w:val="white"/>
          <w:lang w:val="en-GB"/>
        </w:rPr>
        <w:lastRenderedPageBreak/>
        <w:t xml:space="preserve">In total, 23 investigations were conducted into the reporting of campaign spending in the wake of the 2019 General Election, the outcomes of which are shown in Table 4. The Electoral Commission was satisfied that an offence was committed in 13 of these investigations, meaning that the party or campaign organization in question either provided late, </w:t>
      </w:r>
      <w:r w:rsidR="00D25F57" w:rsidRPr="00171C2D">
        <w:rPr>
          <w:rFonts w:ascii="Avenir" w:eastAsia="Avenir" w:hAnsi="Avenir" w:cs="Avenir"/>
          <w:highlight w:val="white"/>
          <w:lang w:val="en-GB"/>
        </w:rPr>
        <w:t>incomplete,</w:t>
      </w:r>
      <w:r w:rsidRPr="00171C2D">
        <w:rPr>
          <w:rFonts w:ascii="Avenir" w:eastAsia="Avenir" w:hAnsi="Avenir" w:cs="Avenir"/>
          <w:highlight w:val="white"/>
          <w:lang w:val="en-GB"/>
        </w:rPr>
        <w:t xml:space="preserve"> or otherwise non-compliant spending returns. Only five of these offences were judged to be serious enough to warrant a financial penalty, and all offences under investigation were committed by minor parties who only stood candidates in a small number of constituencies (although the Electoral Commission did issue significant fines to the Conservatives (Electoral Commission 2017) and the Liberal Democrats (Electoral Commission 2016c) for not delivering compliant spending returns at the 2015 General Election). </w:t>
      </w:r>
    </w:p>
    <w:p w14:paraId="24339932" w14:textId="77777777" w:rsidR="00B556DE" w:rsidRPr="00171C2D" w:rsidRDefault="00B556DE">
      <w:pPr>
        <w:jc w:val="both"/>
        <w:rPr>
          <w:rFonts w:ascii="Avenir" w:eastAsia="Avenir" w:hAnsi="Avenir" w:cs="Avenir"/>
          <w:highlight w:val="white"/>
          <w:lang w:val="en-GB"/>
        </w:rPr>
      </w:pPr>
    </w:p>
    <w:p w14:paraId="6A88E030" w14:textId="33B2BA84" w:rsidR="00B556DE" w:rsidRPr="00171C2D" w:rsidRDefault="000D6BB0">
      <w:pPr>
        <w:jc w:val="both"/>
        <w:rPr>
          <w:rFonts w:ascii="Avenir" w:eastAsia="Avenir" w:hAnsi="Avenir" w:cs="Avenir"/>
          <w:highlight w:val="white"/>
          <w:lang w:val="en-GB"/>
        </w:rPr>
      </w:pPr>
      <w:r w:rsidRPr="00171C2D">
        <w:rPr>
          <w:rFonts w:ascii="Avenir" w:eastAsia="Avenir" w:hAnsi="Avenir" w:cs="Avenir"/>
          <w:highlight w:val="white"/>
          <w:lang w:val="en-GB"/>
        </w:rPr>
        <w:t>While providing some insight into how cases of malpractice are identified and dealt with, there are many unanswered questions about how this process works. First, it is not clear how many complaints are made, or by whom. Second, although the Electoral Commission does provide guidance on how it carries out its investigations on its website (Electoral Commission 2021) and it publishes its enforcement policy (Electoral Commission 2016b), it is still at times unclear as to how it arrives at specific judgements about: (a)</w:t>
      </w:r>
      <w:r w:rsidR="00AB5DE4">
        <w:rPr>
          <w:rFonts w:ascii="Avenir" w:eastAsia="Avenir" w:hAnsi="Avenir" w:cs="Avenir"/>
          <w:highlight w:val="white"/>
          <w:lang w:val="en-GB"/>
        </w:rPr>
        <w:t> </w:t>
      </w:r>
      <w:r w:rsidRPr="00171C2D">
        <w:rPr>
          <w:rFonts w:ascii="Avenir" w:eastAsia="Avenir" w:hAnsi="Avenir" w:cs="Avenir"/>
          <w:highlight w:val="white"/>
          <w:lang w:val="en-GB"/>
        </w:rPr>
        <w:t>the threshold for a suspected offence to warrant an investigation; and (b)</w:t>
      </w:r>
      <w:r w:rsidR="00AB5DE4">
        <w:rPr>
          <w:rFonts w:ascii="Avenir" w:eastAsia="Avenir" w:hAnsi="Avenir" w:cs="Avenir"/>
          <w:highlight w:val="white"/>
          <w:lang w:val="en-GB"/>
        </w:rPr>
        <w:t> </w:t>
      </w:r>
      <w:r w:rsidRPr="00171C2D">
        <w:rPr>
          <w:rFonts w:ascii="Avenir" w:eastAsia="Avenir" w:hAnsi="Avenir" w:cs="Avenir"/>
          <w:highlight w:val="white"/>
          <w:lang w:val="en-GB"/>
        </w:rPr>
        <w:t xml:space="preserve">when an offence is deemed serious enough to warrant a sanction. This is predominantly due to the results of each investigation only being described in a brief note on the Electoral Commission website, but also because many cases where a sanction was avoided cite ‘mitigating’ factors that are not detailed, making it difficult to determine why this outcome was reached. </w:t>
      </w:r>
    </w:p>
    <w:p w14:paraId="200D8727" w14:textId="77777777" w:rsidR="00B556DE" w:rsidRPr="00171C2D" w:rsidRDefault="00B556DE">
      <w:pPr>
        <w:jc w:val="both"/>
        <w:rPr>
          <w:rFonts w:ascii="Avenir" w:eastAsia="Avenir" w:hAnsi="Avenir" w:cs="Avenir"/>
          <w:highlight w:val="white"/>
          <w:lang w:val="en-GB"/>
        </w:rPr>
      </w:pPr>
    </w:p>
    <w:p w14:paraId="4206A45B" w14:textId="77777777" w:rsidR="00B556DE" w:rsidRPr="00171C2D" w:rsidRDefault="000D6BB0">
      <w:pPr>
        <w:jc w:val="both"/>
        <w:rPr>
          <w:rFonts w:ascii="Avenir" w:eastAsia="Avenir" w:hAnsi="Avenir" w:cs="Avenir"/>
          <w:highlight w:val="white"/>
          <w:lang w:val="en-GB"/>
        </w:rPr>
      </w:pPr>
      <w:r w:rsidRPr="00171C2D">
        <w:rPr>
          <w:rFonts w:ascii="Avenir" w:eastAsia="Avenir" w:hAnsi="Avenir" w:cs="Avenir"/>
          <w:highlight w:val="white"/>
          <w:lang w:val="en-GB"/>
        </w:rPr>
        <w:t xml:space="preserve">The present guidance from the Electoral Commission states that it issues ‘proportionate’ sanctions that are in the public interest, but it does not provide further detail regarding what proportionate means in practice. It is therefore suggested that in the UK more specific guidance on the procedure of issuing sanctions, as well as more detailed reporting of complaints and individual investigations, would ensure greater transparency. Worldwide, procedures for investigation into campaign spending offences should replicate these standards to ensure that complaints information is easy to access and transparent. </w:t>
      </w:r>
    </w:p>
    <w:p w14:paraId="13DC11F3" w14:textId="77777777" w:rsidR="00B556DE" w:rsidRPr="00171C2D" w:rsidRDefault="00B556DE">
      <w:pPr>
        <w:jc w:val="both"/>
        <w:rPr>
          <w:rFonts w:ascii="Avenir" w:eastAsia="Avenir" w:hAnsi="Avenir" w:cs="Avenir"/>
          <w:highlight w:val="white"/>
          <w:lang w:val="en-GB"/>
        </w:rPr>
      </w:pPr>
    </w:p>
    <w:p w14:paraId="5E594B82" w14:textId="29BCB11D" w:rsidR="00B556DE" w:rsidRPr="00171C2D" w:rsidRDefault="000D6BB0">
      <w:pPr>
        <w:jc w:val="both"/>
        <w:rPr>
          <w:rFonts w:ascii="Avenir" w:eastAsia="Avenir" w:hAnsi="Avenir" w:cs="Avenir"/>
          <w:b/>
          <w:bCs/>
          <w:iCs/>
          <w:highlight w:val="white"/>
          <w:lang w:val="en-GB"/>
        </w:rPr>
      </w:pPr>
      <w:r w:rsidRPr="00171C2D">
        <w:rPr>
          <w:rFonts w:ascii="Avenir" w:eastAsia="Avenir" w:hAnsi="Avenir" w:cs="Avenir"/>
          <w:b/>
          <w:bCs/>
          <w:iCs/>
          <w:lang w:val="en-GB"/>
        </w:rPr>
        <w:t>Table 4: Electoral Commission investigations into inadequate reporting of campaign spending, UK General Election 2019</w:t>
      </w:r>
    </w:p>
    <w:tbl>
      <w:tblPr>
        <w:tblW w:w="9270" w:type="dxa"/>
        <w:tblInd w:w="160" w:type="dxa"/>
        <w:tblCellMar>
          <w:top w:w="100" w:type="dxa"/>
          <w:left w:w="100" w:type="dxa"/>
          <w:bottom w:w="100" w:type="dxa"/>
          <w:right w:w="100" w:type="dxa"/>
        </w:tblCellMar>
        <w:tblLook w:val="0600" w:firstRow="0" w:lastRow="0" w:firstColumn="0" w:lastColumn="0" w:noHBand="1" w:noVBand="1"/>
      </w:tblPr>
      <w:tblGrid>
        <w:gridCol w:w="2414"/>
        <w:gridCol w:w="4771"/>
        <w:gridCol w:w="2085"/>
      </w:tblGrid>
      <w:tr w:rsidR="00171C2D" w:rsidRPr="00171C2D" w14:paraId="181713CB" w14:textId="77777777">
        <w:tc>
          <w:tcPr>
            <w:tcW w:w="2414" w:type="dxa"/>
            <w:tcBorders>
              <w:top w:val="single" w:sz="8" w:space="0" w:color="000000"/>
              <w:left w:val="single" w:sz="8" w:space="0" w:color="000000"/>
              <w:bottom w:val="single" w:sz="8" w:space="0" w:color="000000"/>
              <w:right w:val="single" w:sz="8" w:space="0" w:color="000000"/>
            </w:tcBorders>
            <w:shd w:val="clear" w:color="auto" w:fill="CCCCCC"/>
          </w:tcPr>
          <w:p w14:paraId="37F86113" w14:textId="77777777" w:rsidR="00B556DE" w:rsidRPr="00171C2D" w:rsidRDefault="000D6BB0">
            <w:pPr>
              <w:widowControl w:val="0"/>
              <w:spacing w:line="240" w:lineRule="auto"/>
              <w:rPr>
                <w:rFonts w:ascii="Avenir" w:eastAsia="Avenir" w:hAnsi="Avenir" w:cs="Avenir"/>
                <w:b/>
                <w:bCs/>
                <w:sz w:val="24"/>
                <w:szCs w:val="24"/>
                <w:highlight w:val="lightGray"/>
                <w:lang w:val="en-GB"/>
              </w:rPr>
            </w:pPr>
            <w:r w:rsidRPr="00171C2D">
              <w:rPr>
                <w:rFonts w:ascii="Avenir" w:eastAsia="Avenir" w:hAnsi="Avenir" w:cs="Avenir"/>
                <w:b/>
                <w:bCs/>
                <w:sz w:val="24"/>
                <w:szCs w:val="24"/>
                <w:shd w:val="clear" w:color="auto" w:fill="CCCCCC"/>
                <w:lang w:val="en-GB"/>
              </w:rPr>
              <w:t>Party/Organization</w:t>
            </w:r>
          </w:p>
        </w:tc>
        <w:tc>
          <w:tcPr>
            <w:tcW w:w="4771" w:type="dxa"/>
            <w:tcBorders>
              <w:top w:val="single" w:sz="8" w:space="0" w:color="000000"/>
              <w:left w:val="single" w:sz="8" w:space="0" w:color="000000"/>
              <w:bottom w:val="single" w:sz="8" w:space="0" w:color="000000"/>
              <w:right w:val="single" w:sz="8" w:space="0" w:color="000000"/>
            </w:tcBorders>
            <w:shd w:val="clear" w:color="auto" w:fill="CCCCCC"/>
          </w:tcPr>
          <w:p w14:paraId="4EB0D691" w14:textId="77777777" w:rsidR="00B556DE" w:rsidRPr="00171C2D" w:rsidRDefault="000D6BB0">
            <w:pPr>
              <w:widowControl w:val="0"/>
              <w:spacing w:line="240" w:lineRule="auto"/>
              <w:rPr>
                <w:rFonts w:ascii="Avenir" w:eastAsia="Avenir" w:hAnsi="Avenir" w:cs="Avenir"/>
                <w:b/>
                <w:sz w:val="24"/>
                <w:szCs w:val="24"/>
                <w:highlight w:val="lightGray"/>
                <w:lang w:val="en-GB"/>
              </w:rPr>
            </w:pPr>
            <w:r w:rsidRPr="00171C2D">
              <w:rPr>
                <w:rFonts w:ascii="Avenir" w:eastAsia="Avenir" w:hAnsi="Avenir" w:cs="Avenir"/>
                <w:b/>
                <w:sz w:val="24"/>
                <w:szCs w:val="24"/>
                <w:shd w:val="clear" w:color="auto" w:fill="CCCCCC"/>
                <w:lang w:val="en-GB"/>
              </w:rPr>
              <w:t>Offence</w:t>
            </w:r>
          </w:p>
        </w:tc>
        <w:tc>
          <w:tcPr>
            <w:tcW w:w="2085" w:type="dxa"/>
            <w:tcBorders>
              <w:top w:val="single" w:sz="8" w:space="0" w:color="000000"/>
              <w:left w:val="single" w:sz="8" w:space="0" w:color="000000"/>
              <w:bottom w:val="single" w:sz="8" w:space="0" w:color="000000"/>
              <w:right w:val="single" w:sz="8" w:space="0" w:color="000000"/>
            </w:tcBorders>
            <w:shd w:val="clear" w:color="auto" w:fill="CCCCCC"/>
          </w:tcPr>
          <w:p w14:paraId="71244925" w14:textId="77777777" w:rsidR="00B556DE" w:rsidRPr="00171C2D" w:rsidRDefault="000D6BB0">
            <w:pPr>
              <w:widowControl w:val="0"/>
              <w:spacing w:line="240" w:lineRule="auto"/>
              <w:rPr>
                <w:rFonts w:ascii="Avenir" w:eastAsia="Avenir" w:hAnsi="Avenir" w:cs="Avenir"/>
                <w:b/>
                <w:sz w:val="24"/>
                <w:szCs w:val="24"/>
                <w:highlight w:val="lightGray"/>
                <w:lang w:val="en-GB"/>
              </w:rPr>
            </w:pPr>
            <w:r w:rsidRPr="00171C2D">
              <w:rPr>
                <w:rFonts w:ascii="Avenir" w:eastAsia="Avenir" w:hAnsi="Avenir" w:cs="Avenir"/>
                <w:b/>
                <w:sz w:val="24"/>
                <w:szCs w:val="24"/>
                <w:shd w:val="clear" w:color="auto" w:fill="CCCCCC"/>
                <w:lang w:val="en-GB"/>
              </w:rPr>
              <w:t>Sanction</w:t>
            </w:r>
          </w:p>
        </w:tc>
      </w:tr>
      <w:tr w:rsidR="00171C2D" w:rsidRPr="00171C2D" w14:paraId="0BAAEE1C" w14:textId="77777777">
        <w:tc>
          <w:tcPr>
            <w:tcW w:w="2414" w:type="dxa"/>
            <w:tcBorders>
              <w:top w:val="single" w:sz="8" w:space="0" w:color="000000"/>
              <w:left w:val="single" w:sz="8" w:space="0" w:color="000000"/>
              <w:bottom w:val="single" w:sz="8" w:space="0" w:color="000000"/>
              <w:right w:val="single" w:sz="8" w:space="0" w:color="000000"/>
            </w:tcBorders>
            <w:shd w:val="clear" w:color="auto" w:fill="auto"/>
          </w:tcPr>
          <w:p w14:paraId="485F1642"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Renew</w:t>
            </w:r>
          </w:p>
        </w:tc>
        <w:tc>
          <w:tcPr>
            <w:tcW w:w="4771" w:type="dxa"/>
            <w:tcBorders>
              <w:top w:val="single" w:sz="8" w:space="0" w:color="000000"/>
              <w:left w:val="single" w:sz="8" w:space="0" w:color="000000"/>
              <w:bottom w:val="single" w:sz="8" w:space="0" w:color="000000"/>
              <w:right w:val="single" w:sz="8" w:space="0" w:color="000000"/>
            </w:tcBorders>
            <w:shd w:val="clear" w:color="auto" w:fill="auto"/>
          </w:tcPr>
          <w:p w14:paraId="02E5AEB5"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Late delivery of campaign expenditure return</w:t>
            </w:r>
          </w:p>
        </w:tc>
        <w:tc>
          <w:tcPr>
            <w:tcW w:w="2085" w:type="dxa"/>
            <w:tcBorders>
              <w:top w:val="single" w:sz="8" w:space="0" w:color="000000"/>
              <w:left w:val="single" w:sz="8" w:space="0" w:color="000000"/>
              <w:bottom w:val="single" w:sz="8" w:space="0" w:color="000000"/>
              <w:right w:val="single" w:sz="8" w:space="0" w:color="000000"/>
            </w:tcBorders>
            <w:shd w:val="clear" w:color="auto" w:fill="auto"/>
          </w:tcPr>
          <w:p w14:paraId="406C093B" w14:textId="7F1ABB5C" w:rsidR="00B556DE" w:rsidRPr="00171C2D" w:rsidRDefault="009014F3">
            <w:pPr>
              <w:widowControl w:val="0"/>
              <w:spacing w:line="240" w:lineRule="auto"/>
              <w:rPr>
                <w:rFonts w:ascii="Avenir" w:eastAsia="Avenir" w:hAnsi="Avenir" w:cs="Avenir"/>
                <w:highlight w:val="white"/>
                <w:lang w:val="en-GB"/>
              </w:rPr>
            </w:pPr>
            <w:r>
              <w:rPr>
                <w:rFonts w:ascii="Avenir" w:eastAsia="Avenir" w:hAnsi="Avenir" w:cs="Avenir"/>
                <w:highlight w:val="white"/>
                <w:lang w:val="en-GB"/>
              </w:rPr>
              <w:t>GBP </w:t>
            </w:r>
            <w:r w:rsidR="000D6BB0" w:rsidRPr="00171C2D">
              <w:rPr>
                <w:rFonts w:ascii="Avenir" w:eastAsia="Avenir" w:hAnsi="Avenir" w:cs="Avenir"/>
                <w:highlight w:val="white"/>
                <w:lang w:val="en-GB"/>
              </w:rPr>
              <w:t>2,800 fine</w:t>
            </w:r>
          </w:p>
        </w:tc>
      </w:tr>
      <w:tr w:rsidR="00171C2D" w:rsidRPr="00171C2D" w14:paraId="0DC602E1" w14:textId="77777777">
        <w:tc>
          <w:tcPr>
            <w:tcW w:w="2414" w:type="dxa"/>
            <w:tcBorders>
              <w:top w:val="single" w:sz="8" w:space="0" w:color="000000"/>
              <w:left w:val="single" w:sz="8" w:space="0" w:color="000000"/>
              <w:bottom w:val="single" w:sz="8" w:space="0" w:color="000000"/>
              <w:right w:val="single" w:sz="8" w:space="0" w:color="000000"/>
            </w:tcBorders>
            <w:shd w:val="clear" w:color="auto" w:fill="auto"/>
          </w:tcPr>
          <w:p w14:paraId="377D7234"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Scottish Green Party</w:t>
            </w:r>
          </w:p>
        </w:tc>
        <w:tc>
          <w:tcPr>
            <w:tcW w:w="4771" w:type="dxa"/>
            <w:tcBorders>
              <w:top w:val="single" w:sz="8" w:space="0" w:color="000000"/>
              <w:left w:val="single" w:sz="8" w:space="0" w:color="000000"/>
              <w:bottom w:val="single" w:sz="8" w:space="0" w:color="000000"/>
              <w:right w:val="single" w:sz="8" w:space="0" w:color="000000"/>
            </w:tcBorders>
            <w:shd w:val="clear" w:color="auto" w:fill="auto"/>
          </w:tcPr>
          <w:p w14:paraId="6292FA0C"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Failure to deliver accurate spending return</w:t>
            </w:r>
          </w:p>
        </w:tc>
        <w:tc>
          <w:tcPr>
            <w:tcW w:w="2085" w:type="dxa"/>
            <w:tcBorders>
              <w:top w:val="single" w:sz="8" w:space="0" w:color="000000"/>
              <w:left w:val="single" w:sz="8" w:space="0" w:color="000000"/>
              <w:bottom w:val="single" w:sz="8" w:space="0" w:color="000000"/>
              <w:right w:val="single" w:sz="8" w:space="0" w:color="000000"/>
            </w:tcBorders>
            <w:shd w:val="clear" w:color="auto" w:fill="auto"/>
          </w:tcPr>
          <w:p w14:paraId="3B8F914D" w14:textId="7B629CA0" w:rsidR="00B556DE" w:rsidRPr="00171C2D" w:rsidRDefault="009014F3">
            <w:pPr>
              <w:widowControl w:val="0"/>
              <w:spacing w:line="240" w:lineRule="auto"/>
              <w:rPr>
                <w:rFonts w:ascii="Avenir" w:eastAsia="Avenir" w:hAnsi="Avenir" w:cs="Avenir"/>
                <w:highlight w:val="white"/>
                <w:lang w:val="en-GB"/>
              </w:rPr>
            </w:pPr>
            <w:r>
              <w:rPr>
                <w:rFonts w:ascii="Avenir" w:eastAsia="Avenir" w:hAnsi="Avenir" w:cs="Avenir"/>
                <w:highlight w:val="white"/>
                <w:lang w:val="en-GB"/>
              </w:rPr>
              <w:t>GBP </w:t>
            </w:r>
            <w:r w:rsidR="000D6BB0" w:rsidRPr="00171C2D">
              <w:rPr>
                <w:rFonts w:ascii="Avenir" w:eastAsia="Avenir" w:hAnsi="Avenir" w:cs="Avenir"/>
                <w:highlight w:val="white"/>
                <w:lang w:val="en-GB"/>
              </w:rPr>
              <w:t>200 fine</w:t>
            </w:r>
          </w:p>
        </w:tc>
      </w:tr>
      <w:tr w:rsidR="00171C2D" w:rsidRPr="00171C2D" w14:paraId="40EF4C43" w14:textId="77777777">
        <w:tc>
          <w:tcPr>
            <w:tcW w:w="2414" w:type="dxa"/>
            <w:tcBorders>
              <w:top w:val="single" w:sz="8" w:space="0" w:color="000000"/>
              <w:left w:val="single" w:sz="8" w:space="0" w:color="000000"/>
              <w:bottom w:val="single" w:sz="8" w:space="0" w:color="000000"/>
              <w:right w:val="single" w:sz="8" w:space="0" w:color="000000"/>
            </w:tcBorders>
            <w:shd w:val="clear" w:color="auto" w:fill="auto"/>
          </w:tcPr>
          <w:p w14:paraId="0069254B"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The Cynon Valley Party</w:t>
            </w:r>
          </w:p>
        </w:tc>
        <w:tc>
          <w:tcPr>
            <w:tcW w:w="4771" w:type="dxa"/>
            <w:tcBorders>
              <w:top w:val="single" w:sz="8" w:space="0" w:color="000000"/>
              <w:left w:val="single" w:sz="8" w:space="0" w:color="000000"/>
              <w:bottom w:val="single" w:sz="8" w:space="0" w:color="000000"/>
              <w:right w:val="single" w:sz="8" w:space="0" w:color="000000"/>
            </w:tcBorders>
            <w:shd w:val="clear" w:color="auto" w:fill="auto"/>
          </w:tcPr>
          <w:p w14:paraId="5CC86086"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Failure to deliver complete spending return</w:t>
            </w:r>
          </w:p>
        </w:tc>
        <w:tc>
          <w:tcPr>
            <w:tcW w:w="2085" w:type="dxa"/>
            <w:tcBorders>
              <w:top w:val="single" w:sz="8" w:space="0" w:color="000000"/>
              <w:left w:val="single" w:sz="8" w:space="0" w:color="000000"/>
              <w:bottom w:val="single" w:sz="8" w:space="0" w:color="000000"/>
              <w:right w:val="single" w:sz="8" w:space="0" w:color="000000"/>
            </w:tcBorders>
            <w:shd w:val="clear" w:color="auto" w:fill="auto"/>
          </w:tcPr>
          <w:p w14:paraId="0E2BC9F4"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No sanction</w:t>
            </w:r>
          </w:p>
        </w:tc>
      </w:tr>
      <w:tr w:rsidR="00171C2D" w:rsidRPr="00171C2D" w14:paraId="033D67B1" w14:textId="77777777">
        <w:tc>
          <w:tcPr>
            <w:tcW w:w="2414" w:type="dxa"/>
            <w:tcBorders>
              <w:top w:val="single" w:sz="8" w:space="0" w:color="000000"/>
              <w:left w:val="single" w:sz="8" w:space="0" w:color="000000"/>
              <w:bottom w:val="single" w:sz="8" w:space="0" w:color="000000"/>
              <w:right w:val="single" w:sz="8" w:space="0" w:color="000000"/>
            </w:tcBorders>
            <w:shd w:val="clear" w:color="auto" w:fill="auto"/>
          </w:tcPr>
          <w:p w14:paraId="374D9024"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Capitalist Worker</w:t>
            </w:r>
          </w:p>
        </w:tc>
        <w:tc>
          <w:tcPr>
            <w:tcW w:w="4771" w:type="dxa"/>
            <w:tcBorders>
              <w:top w:val="single" w:sz="8" w:space="0" w:color="000000"/>
              <w:left w:val="single" w:sz="8" w:space="0" w:color="000000"/>
              <w:bottom w:val="single" w:sz="8" w:space="0" w:color="000000"/>
              <w:right w:val="single" w:sz="8" w:space="0" w:color="000000"/>
            </w:tcBorders>
            <w:shd w:val="clear" w:color="auto" w:fill="auto"/>
          </w:tcPr>
          <w:p w14:paraId="359F7AD6"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Failure to deliver compliant spending return</w:t>
            </w:r>
          </w:p>
        </w:tc>
        <w:tc>
          <w:tcPr>
            <w:tcW w:w="2085" w:type="dxa"/>
            <w:tcBorders>
              <w:top w:val="single" w:sz="8" w:space="0" w:color="000000"/>
              <w:left w:val="single" w:sz="8" w:space="0" w:color="000000"/>
              <w:bottom w:val="single" w:sz="8" w:space="0" w:color="000000"/>
              <w:right w:val="single" w:sz="8" w:space="0" w:color="000000"/>
            </w:tcBorders>
            <w:shd w:val="clear" w:color="auto" w:fill="auto"/>
          </w:tcPr>
          <w:p w14:paraId="423841B4"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No sanction</w:t>
            </w:r>
          </w:p>
        </w:tc>
      </w:tr>
      <w:tr w:rsidR="00171C2D" w:rsidRPr="00171C2D" w14:paraId="3A573C19" w14:textId="77777777">
        <w:tc>
          <w:tcPr>
            <w:tcW w:w="2414" w:type="dxa"/>
            <w:tcBorders>
              <w:top w:val="single" w:sz="8" w:space="0" w:color="000000"/>
              <w:left w:val="single" w:sz="8" w:space="0" w:color="000000"/>
              <w:bottom w:val="single" w:sz="8" w:space="0" w:color="000000"/>
              <w:right w:val="single" w:sz="8" w:space="0" w:color="000000"/>
            </w:tcBorders>
            <w:shd w:val="clear" w:color="auto" w:fill="auto"/>
          </w:tcPr>
          <w:p w14:paraId="65BFA7D9"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The Citizens Movement Party</w:t>
            </w:r>
          </w:p>
        </w:tc>
        <w:tc>
          <w:tcPr>
            <w:tcW w:w="4771" w:type="dxa"/>
            <w:tcBorders>
              <w:top w:val="single" w:sz="8" w:space="0" w:color="000000"/>
              <w:left w:val="single" w:sz="8" w:space="0" w:color="000000"/>
              <w:bottom w:val="single" w:sz="8" w:space="0" w:color="000000"/>
              <w:right w:val="single" w:sz="8" w:space="0" w:color="000000"/>
            </w:tcBorders>
            <w:shd w:val="clear" w:color="auto" w:fill="auto"/>
          </w:tcPr>
          <w:p w14:paraId="049712AB"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Late delivery of campaign spending return</w:t>
            </w:r>
          </w:p>
        </w:tc>
        <w:tc>
          <w:tcPr>
            <w:tcW w:w="2085" w:type="dxa"/>
            <w:tcBorders>
              <w:top w:val="single" w:sz="8" w:space="0" w:color="000000"/>
              <w:left w:val="single" w:sz="8" w:space="0" w:color="000000"/>
              <w:bottom w:val="single" w:sz="8" w:space="0" w:color="000000"/>
              <w:right w:val="single" w:sz="8" w:space="0" w:color="000000"/>
            </w:tcBorders>
            <w:shd w:val="clear" w:color="auto" w:fill="auto"/>
          </w:tcPr>
          <w:p w14:paraId="32B3E4A4"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No sanction</w:t>
            </w:r>
          </w:p>
        </w:tc>
      </w:tr>
      <w:tr w:rsidR="00171C2D" w:rsidRPr="00171C2D" w14:paraId="712708DA" w14:textId="77777777">
        <w:tc>
          <w:tcPr>
            <w:tcW w:w="2414" w:type="dxa"/>
            <w:tcBorders>
              <w:top w:val="single" w:sz="8" w:space="0" w:color="000000"/>
              <w:left w:val="single" w:sz="8" w:space="0" w:color="000000"/>
              <w:bottom w:val="single" w:sz="8" w:space="0" w:color="000000"/>
              <w:right w:val="single" w:sz="8" w:space="0" w:color="000000"/>
            </w:tcBorders>
            <w:shd w:val="clear" w:color="auto" w:fill="auto"/>
          </w:tcPr>
          <w:p w14:paraId="3FA960BA"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lastRenderedPageBreak/>
              <w:t>The Justice &amp; Anti-Corruption Party</w:t>
            </w:r>
          </w:p>
        </w:tc>
        <w:tc>
          <w:tcPr>
            <w:tcW w:w="4771" w:type="dxa"/>
            <w:tcBorders>
              <w:top w:val="single" w:sz="8" w:space="0" w:color="000000"/>
              <w:left w:val="single" w:sz="8" w:space="0" w:color="000000"/>
              <w:bottom w:val="single" w:sz="8" w:space="0" w:color="000000"/>
              <w:right w:val="single" w:sz="8" w:space="0" w:color="000000"/>
            </w:tcBorders>
            <w:shd w:val="clear" w:color="auto" w:fill="auto"/>
          </w:tcPr>
          <w:p w14:paraId="5FF08AA6"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Late delivery of campaign spending return</w:t>
            </w:r>
          </w:p>
        </w:tc>
        <w:tc>
          <w:tcPr>
            <w:tcW w:w="2085" w:type="dxa"/>
            <w:tcBorders>
              <w:top w:val="single" w:sz="8" w:space="0" w:color="000000"/>
              <w:left w:val="single" w:sz="8" w:space="0" w:color="000000"/>
              <w:bottom w:val="single" w:sz="8" w:space="0" w:color="000000"/>
              <w:right w:val="single" w:sz="8" w:space="0" w:color="000000"/>
            </w:tcBorders>
            <w:shd w:val="clear" w:color="auto" w:fill="auto"/>
          </w:tcPr>
          <w:p w14:paraId="2A03DC4C"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No sanction</w:t>
            </w:r>
          </w:p>
        </w:tc>
      </w:tr>
      <w:tr w:rsidR="00171C2D" w:rsidRPr="00171C2D" w14:paraId="1DD2EA6E" w14:textId="77777777">
        <w:tc>
          <w:tcPr>
            <w:tcW w:w="2414" w:type="dxa"/>
            <w:tcBorders>
              <w:top w:val="single" w:sz="8" w:space="0" w:color="000000"/>
              <w:left w:val="single" w:sz="8" w:space="0" w:color="000000"/>
              <w:bottom w:val="single" w:sz="8" w:space="0" w:color="000000"/>
              <w:right w:val="single" w:sz="8" w:space="0" w:color="000000"/>
            </w:tcBorders>
            <w:shd w:val="clear" w:color="auto" w:fill="auto"/>
          </w:tcPr>
          <w:p w14:paraId="018B8AB6" w14:textId="77777777" w:rsidR="00B556DE" w:rsidRPr="00171C2D" w:rsidRDefault="000D6BB0">
            <w:pPr>
              <w:widowControl w:val="0"/>
              <w:spacing w:line="240" w:lineRule="auto"/>
              <w:rPr>
                <w:rFonts w:ascii="Avenir" w:eastAsia="Avenir" w:hAnsi="Avenir" w:cs="Avenir"/>
                <w:highlight w:val="white"/>
                <w:lang w:val="en-GB"/>
              </w:rPr>
            </w:pPr>
            <w:proofErr w:type="spellStart"/>
            <w:r w:rsidRPr="00171C2D">
              <w:rPr>
                <w:rFonts w:ascii="Avenir" w:eastAsia="Avenir" w:hAnsi="Avenir" w:cs="Avenir"/>
                <w:highlight w:val="white"/>
                <w:lang w:val="en-GB"/>
              </w:rPr>
              <w:t>Gwlad</w:t>
            </w:r>
            <w:proofErr w:type="spellEnd"/>
          </w:p>
        </w:tc>
        <w:tc>
          <w:tcPr>
            <w:tcW w:w="4771" w:type="dxa"/>
            <w:tcBorders>
              <w:top w:val="single" w:sz="8" w:space="0" w:color="000000"/>
              <w:left w:val="single" w:sz="8" w:space="0" w:color="000000"/>
              <w:bottom w:val="single" w:sz="8" w:space="0" w:color="000000"/>
              <w:right w:val="single" w:sz="8" w:space="0" w:color="000000"/>
            </w:tcBorders>
            <w:shd w:val="clear" w:color="auto" w:fill="auto"/>
          </w:tcPr>
          <w:p w14:paraId="615510CD"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Late delivery of campaign spending return</w:t>
            </w:r>
          </w:p>
        </w:tc>
        <w:tc>
          <w:tcPr>
            <w:tcW w:w="2085" w:type="dxa"/>
            <w:tcBorders>
              <w:top w:val="single" w:sz="8" w:space="0" w:color="000000"/>
              <w:left w:val="single" w:sz="8" w:space="0" w:color="000000"/>
              <w:bottom w:val="single" w:sz="8" w:space="0" w:color="000000"/>
              <w:right w:val="single" w:sz="8" w:space="0" w:color="000000"/>
            </w:tcBorders>
            <w:shd w:val="clear" w:color="auto" w:fill="auto"/>
          </w:tcPr>
          <w:p w14:paraId="17727A84" w14:textId="071FCC20" w:rsidR="00B556DE" w:rsidRPr="00171C2D" w:rsidRDefault="009014F3">
            <w:pPr>
              <w:widowControl w:val="0"/>
              <w:spacing w:line="240" w:lineRule="auto"/>
              <w:rPr>
                <w:rFonts w:ascii="Avenir" w:eastAsia="Avenir" w:hAnsi="Avenir" w:cs="Avenir"/>
                <w:highlight w:val="white"/>
                <w:lang w:val="en-GB"/>
              </w:rPr>
            </w:pPr>
            <w:r>
              <w:rPr>
                <w:rFonts w:ascii="Avenir" w:eastAsia="Avenir" w:hAnsi="Avenir" w:cs="Avenir"/>
                <w:highlight w:val="white"/>
                <w:lang w:val="en-GB"/>
              </w:rPr>
              <w:t>GBP </w:t>
            </w:r>
            <w:r w:rsidR="000D6BB0" w:rsidRPr="00171C2D">
              <w:rPr>
                <w:rFonts w:ascii="Avenir" w:eastAsia="Avenir" w:hAnsi="Avenir" w:cs="Avenir"/>
                <w:highlight w:val="white"/>
                <w:lang w:val="en-GB"/>
              </w:rPr>
              <w:t>200 fine</w:t>
            </w:r>
          </w:p>
        </w:tc>
      </w:tr>
      <w:tr w:rsidR="00171C2D" w:rsidRPr="00171C2D" w14:paraId="03FADB4F" w14:textId="77777777">
        <w:tc>
          <w:tcPr>
            <w:tcW w:w="2414" w:type="dxa"/>
            <w:tcBorders>
              <w:top w:val="single" w:sz="8" w:space="0" w:color="000000"/>
              <w:left w:val="single" w:sz="8" w:space="0" w:color="000000"/>
              <w:bottom w:val="single" w:sz="8" w:space="0" w:color="000000"/>
              <w:right w:val="single" w:sz="8" w:space="0" w:color="000000"/>
            </w:tcBorders>
            <w:shd w:val="clear" w:color="auto" w:fill="auto"/>
          </w:tcPr>
          <w:p w14:paraId="3F783496" w14:textId="77777777" w:rsidR="00B556DE" w:rsidRPr="00171C2D" w:rsidRDefault="000D6BB0">
            <w:pPr>
              <w:widowControl w:val="0"/>
              <w:spacing w:line="240" w:lineRule="auto"/>
              <w:rPr>
                <w:rFonts w:ascii="Avenir" w:eastAsia="Avenir" w:hAnsi="Avenir" w:cs="Avenir"/>
                <w:highlight w:val="white"/>
                <w:lang w:val="en-GB"/>
              </w:rPr>
            </w:pPr>
            <w:proofErr w:type="spellStart"/>
            <w:r w:rsidRPr="00171C2D">
              <w:rPr>
                <w:rFonts w:ascii="Avenir" w:eastAsia="Avenir" w:hAnsi="Avenir" w:cs="Avenir"/>
                <w:highlight w:val="white"/>
                <w:lang w:val="en-GB"/>
              </w:rPr>
              <w:t>Mebyon</w:t>
            </w:r>
            <w:proofErr w:type="spellEnd"/>
            <w:r w:rsidRPr="00171C2D">
              <w:rPr>
                <w:rFonts w:ascii="Avenir" w:eastAsia="Avenir" w:hAnsi="Avenir" w:cs="Avenir"/>
                <w:highlight w:val="white"/>
                <w:lang w:val="en-GB"/>
              </w:rPr>
              <w:t xml:space="preserve"> Kernow: The Party for Cornwall</w:t>
            </w:r>
          </w:p>
        </w:tc>
        <w:tc>
          <w:tcPr>
            <w:tcW w:w="4771" w:type="dxa"/>
            <w:tcBorders>
              <w:top w:val="single" w:sz="8" w:space="0" w:color="000000"/>
              <w:left w:val="single" w:sz="8" w:space="0" w:color="000000"/>
              <w:bottom w:val="single" w:sz="8" w:space="0" w:color="000000"/>
              <w:right w:val="single" w:sz="8" w:space="0" w:color="000000"/>
            </w:tcBorders>
            <w:shd w:val="clear" w:color="auto" w:fill="auto"/>
          </w:tcPr>
          <w:p w14:paraId="018621EF"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Late delivery of campaign spending return</w:t>
            </w:r>
          </w:p>
        </w:tc>
        <w:tc>
          <w:tcPr>
            <w:tcW w:w="2085" w:type="dxa"/>
            <w:tcBorders>
              <w:top w:val="single" w:sz="8" w:space="0" w:color="000000"/>
              <w:left w:val="single" w:sz="8" w:space="0" w:color="000000"/>
              <w:bottom w:val="single" w:sz="8" w:space="0" w:color="000000"/>
              <w:right w:val="single" w:sz="8" w:space="0" w:color="000000"/>
            </w:tcBorders>
            <w:shd w:val="clear" w:color="auto" w:fill="auto"/>
          </w:tcPr>
          <w:p w14:paraId="11D06D39" w14:textId="4E12AF0A" w:rsidR="00B556DE" w:rsidRPr="00171C2D" w:rsidRDefault="009014F3">
            <w:pPr>
              <w:widowControl w:val="0"/>
              <w:spacing w:line="240" w:lineRule="auto"/>
              <w:rPr>
                <w:rFonts w:ascii="Avenir" w:eastAsia="Avenir" w:hAnsi="Avenir" w:cs="Avenir"/>
                <w:highlight w:val="white"/>
                <w:lang w:val="en-GB"/>
              </w:rPr>
            </w:pPr>
            <w:r>
              <w:rPr>
                <w:rFonts w:ascii="Avenir" w:eastAsia="Avenir" w:hAnsi="Avenir" w:cs="Avenir"/>
                <w:highlight w:val="white"/>
                <w:lang w:val="en-GB"/>
              </w:rPr>
              <w:t>GBP </w:t>
            </w:r>
            <w:r w:rsidR="000D6BB0" w:rsidRPr="00171C2D">
              <w:rPr>
                <w:rFonts w:ascii="Avenir" w:eastAsia="Avenir" w:hAnsi="Avenir" w:cs="Avenir"/>
                <w:highlight w:val="white"/>
                <w:lang w:val="en-GB"/>
              </w:rPr>
              <w:t>200 fine</w:t>
            </w:r>
          </w:p>
        </w:tc>
      </w:tr>
      <w:tr w:rsidR="00171C2D" w:rsidRPr="00171C2D" w14:paraId="58E0D18D" w14:textId="77777777">
        <w:tc>
          <w:tcPr>
            <w:tcW w:w="2414" w:type="dxa"/>
            <w:tcBorders>
              <w:top w:val="single" w:sz="8" w:space="0" w:color="000000"/>
              <w:left w:val="single" w:sz="8" w:space="0" w:color="000000"/>
              <w:bottom w:val="single" w:sz="8" w:space="0" w:color="000000"/>
              <w:right w:val="single" w:sz="8" w:space="0" w:color="000000"/>
            </w:tcBorders>
            <w:shd w:val="clear" w:color="auto" w:fill="auto"/>
          </w:tcPr>
          <w:p w14:paraId="49BC1C22"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British National Party</w:t>
            </w:r>
          </w:p>
        </w:tc>
        <w:tc>
          <w:tcPr>
            <w:tcW w:w="4771" w:type="dxa"/>
            <w:tcBorders>
              <w:top w:val="single" w:sz="8" w:space="0" w:color="000000"/>
              <w:left w:val="single" w:sz="8" w:space="0" w:color="000000"/>
              <w:bottom w:val="single" w:sz="8" w:space="0" w:color="000000"/>
              <w:right w:val="single" w:sz="8" w:space="0" w:color="000000"/>
            </w:tcBorders>
            <w:shd w:val="clear" w:color="auto" w:fill="auto"/>
          </w:tcPr>
          <w:p w14:paraId="50902FE9"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Late delivery of campaign spending return</w:t>
            </w:r>
          </w:p>
        </w:tc>
        <w:tc>
          <w:tcPr>
            <w:tcW w:w="2085" w:type="dxa"/>
            <w:tcBorders>
              <w:top w:val="single" w:sz="8" w:space="0" w:color="000000"/>
              <w:left w:val="single" w:sz="8" w:space="0" w:color="000000"/>
              <w:bottom w:val="single" w:sz="8" w:space="0" w:color="000000"/>
              <w:right w:val="single" w:sz="8" w:space="0" w:color="000000"/>
            </w:tcBorders>
            <w:shd w:val="clear" w:color="auto" w:fill="auto"/>
          </w:tcPr>
          <w:p w14:paraId="468AE0D9" w14:textId="3BB6F51E" w:rsidR="00B556DE" w:rsidRPr="00171C2D" w:rsidRDefault="009014F3">
            <w:pPr>
              <w:widowControl w:val="0"/>
              <w:spacing w:line="240" w:lineRule="auto"/>
              <w:rPr>
                <w:rFonts w:ascii="Avenir" w:eastAsia="Avenir" w:hAnsi="Avenir" w:cs="Avenir"/>
                <w:highlight w:val="white"/>
                <w:lang w:val="en-GB"/>
              </w:rPr>
            </w:pPr>
            <w:r>
              <w:rPr>
                <w:rFonts w:ascii="Avenir" w:eastAsia="Avenir" w:hAnsi="Avenir" w:cs="Avenir"/>
                <w:highlight w:val="white"/>
                <w:lang w:val="en-GB"/>
              </w:rPr>
              <w:t>GBP </w:t>
            </w:r>
            <w:r w:rsidR="000D6BB0" w:rsidRPr="00171C2D">
              <w:rPr>
                <w:rFonts w:ascii="Avenir" w:eastAsia="Avenir" w:hAnsi="Avenir" w:cs="Avenir"/>
                <w:highlight w:val="white"/>
                <w:lang w:val="en-GB"/>
              </w:rPr>
              <w:t>300 fine</w:t>
            </w:r>
          </w:p>
        </w:tc>
      </w:tr>
      <w:tr w:rsidR="00171C2D" w:rsidRPr="00171C2D" w14:paraId="6E5B2E1B" w14:textId="77777777">
        <w:tc>
          <w:tcPr>
            <w:tcW w:w="2414" w:type="dxa"/>
            <w:tcBorders>
              <w:top w:val="single" w:sz="8" w:space="0" w:color="000000"/>
              <w:left w:val="single" w:sz="8" w:space="0" w:color="000000"/>
              <w:bottom w:val="single" w:sz="8" w:space="0" w:color="000000"/>
              <w:right w:val="single" w:sz="8" w:space="0" w:color="000000"/>
            </w:tcBorders>
            <w:shd w:val="clear" w:color="auto" w:fill="auto"/>
          </w:tcPr>
          <w:p w14:paraId="43D3FD91"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Space Navies</w:t>
            </w:r>
          </w:p>
        </w:tc>
        <w:tc>
          <w:tcPr>
            <w:tcW w:w="4771" w:type="dxa"/>
            <w:tcBorders>
              <w:top w:val="single" w:sz="8" w:space="0" w:color="000000"/>
              <w:left w:val="single" w:sz="8" w:space="0" w:color="000000"/>
              <w:bottom w:val="single" w:sz="8" w:space="0" w:color="000000"/>
              <w:right w:val="single" w:sz="8" w:space="0" w:color="000000"/>
            </w:tcBorders>
            <w:shd w:val="clear" w:color="auto" w:fill="auto"/>
          </w:tcPr>
          <w:p w14:paraId="36B37A5E"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Failure to deliver a signed declaration of spending</w:t>
            </w:r>
          </w:p>
        </w:tc>
        <w:tc>
          <w:tcPr>
            <w:tcW w:w="2085" w:type="dxa"/>
            <w:tcBorders>
              <w:top w:val="single" w:sz="8" w:space="0" w:color="000000"/>
              <w:left w:val="single" w:sz="8" w:space="0" w:color="000000"/>
              <w:bottom w:val="single" w:sz="8" w:space="0" w:color="000000"/>
              <w:right w:val="single" w:sz="8" w:space="0" w:color="000000"/>
            </w:tcBorders>
            <w:shd w:val="clear" w:color="auto" w:fill="auto"/>
          </w:tcPr>
          <w:p w14:paraId="1E6A480F"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No determination of offence</w:t>
            </w:r>
          </w:p>
        </w:tc>
      </w:tr>
      <w:tr w:rsidR="00171C2D" w:rsidRPr="00171C2D" w14:paraId="6A0ED76E" w14:textId="77777777">
        <w:tc>
          <w:tcPr>
            <w:tcW w:w="2414" w:type="dxa"/>
            <w:tcBorders>
              <w:top w:val="single" w:sz="8" w:space="0" w:color="000000"/>
              <w:left w:val="single" w:sz="8" w:space="0" w:color="000000"/>
              <w:bottom w:val="single" w:sz="8" w:space="0" w:color="000000"/>
              <w:right w:val="single" w:sz="8" w:space="0" w:color="000000"/>
            </w:tcBorders>
            <w:shd w:val="clear" w:color="auto" w:fill="auto"/>
          </w:tcPr>
          <w:p w14:paraId="3B04A6AA"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Church of the Militant Elvis Party</w:t>
            </w:r>
          </w:p>
        </w:tc>
        <w:tc>
          <w:tcPr>
            <w:tcW w:w="4771" w:type="dxa"/>
            <w:tcBorders>
              <w:top w:val="single" w:sz="8" w:space="0" w:color="000000"/>
              <w:left w:val="single" w:sz="8" w:space="0" w:color="000000"/>
              <w:bottom w:val="single" w:sz="8" w:space="0" w:color="000000"/>
              <w:right w:val="single" w:sz="8" w:space="0" w:color="000000"/>
            </w:tcBorders>
            <w:shd w:val="clear" w:color="auto" w:fill="auto"/>
          </w:tcPr>
          <w:p w14:paraId="3C7A8E1E"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Late delivery of campaign expenditure return</w:t>
            </w:r>
          </w:p>
        </w:tc>
        <w:tc>
          <w:tcPr>
            <w:tcW w:w="2085" w:type="dxa"/>
            <w:tcBorders>
              <w:top w:val="single" w:sz="8" w:space="0" w:color="000000"/>
              <w:left w:val="single" w:sz="8" w:space="0" w:color="000000"/>
              <w:bottom w:val="single" w:sz="8" w:space="0" w:color="000000"/>
              <w:right w:val="single" w:sz="8" w:space="0" w:color="000000"/>
            </w:tcBorders>
            <w:shd w:val="clear" w:color="auto" w:fill="auto"/>
          </w:tcPr>
          <w:p w14:paraId="44AADDE1"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No offence</w:t>
            </w:r>
          </w:p>
        </w:tc>
      </w:tr>
      <w:tr w:rsidR="00171C2D" w:rsidRPr="00171C2D" w14:paraId="1682F82E" w14:textId="77777777">
        <w:tc>
          <w:tcPr>
            <w:tcW w:w="2414" w:type="dxa"/>
            <w:tcBorders>
              <w:top w:val="single" w:sz="8" w:space="0" w:color="000000"/>
              <w:left w:val="single" w:sz="8" w:space="0" w:color="000000"/>
              <w:bottom w:val="single" w:sz="8" w:space="0" w:color="000000"/>
              <w:right w:val="single" w:sz="8" w:space="0" w:color="000000"/>
            </w:tcBorders>
            <w:shd w:val="clear" w:color="auto" w:fill="auto"/>
          </w:tcPr>
          <w:p w14:paraId="566B76DE"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Lincolnshire Independents</w:t>
            </w:r>
          </w:p>
        </w:tc>
        <w:tc>
          <w:tcPr>
            <w:tcW w:w="4771" w:type="dxa"/>
            <w:tcBorders>
              <w:top w:val="single" w:sz="8" w:space="0" w:color="000000"/>
              <w:left w:val="single" w:sz="8" w:space="0" w:color="000000"/>
              <w:bottom w:val="single" w:sz="8" w:space="0" w:color="000000"/>
              <w:right w:val="single" w:sz="8" w:space="0" w:color="000000"/>
            </w:tcBorders>
            <w:shd w:val="clear" w:color="auto" w:fill="auto"/>
          </w:tcPr>
          <w:p w14:paraId="73BC0FAB"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Late delivery of campaign expenditure return</w:t>
            </w:r>
          </w:p>
        </w:tc>
        <w:tc>
          <w:tcPr>
            <w:tcW w:w="2085" w:type="dxa"/>
            <w:tcBorders>
              <w:top w:val="single" w:sz="8" w:space="0" w:color="000000"/>
              <w:left w:val="single" w:sz="8" w:space="0" w:color="000000"/>
              <w:bottom w:val="single" w:sz="8" w:space="0" w:color="000000"/>
              <w:right w:val="single" w:sz="8" w:space="0" w:color="000000"/>
            </w:tcBorders>
            <w:shd w:val="clear" w:color="auto" w:fill="auto"/>
          </w:tcPr>
          <w:p w14:paraId="10B1F7FA"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No determination of offence</w:t>
            </w:r>
          </w:p>
        </w:tc>
      </w:tr>
      <w:tr w:rsidR="00171C2D" w:rsidRPr="00171C2D" w14:paraId="214716BC" w14:textId="77777777">
        <w:tc>
          <w:tcPr>
            <w:tcW w:w="2414" w:type="dxa"/>
            <w:tcBorders>
              <w:top w:val="single" w:sz="8" w:space="0" w:color="000000"/>
              <w:left w:val="single" w:sz="8" w:space="0" w:color="000000"/>
              <w:bottom w:val="single" w:sz="8" w:space="0" w:color="000000"/>
              <w:right w:val="single" w:sz="8" w:space="0" w:color="000000"/>
            </w:tcBorders>
            <w:shd w:val="clear" w:color="auto" w:fill="auto"/>
          </w:tcPr>
          <w:p w14:paraId="3977C5B1"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Independent Group for Change</w:t>
            </w:r>
          </w:p>
        </w:tc>
        <w:tc>
          <w:tcPr>
            <w:tcW w:w="4771" w:type="dxa"/>
            <w:tcBorders>
              <w:top w:val="single" w:sz="8" w:space="0" w:color="000000"/>
              <w:left w:val="single" w:sz="8" w:space="0" w:color="000000"/>
              <w:bottom w:val="single" w:sz="8" w:space="0" w:color="000000"/>
              <w:right w:val="single" w:sz="8" w:space="0" w:color="000000"/>
            </w:tcBorders>
            <w:shd w:val="clear" w:color="auto" w:fill="auto"/>
          </w:tcPr>
          <w:p w14:paraId="42E7EDFE"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Failure to deliver accurate spending return</w:t>
            </w:r>
          </w:p>
        </w:tc>
        <w:tc>
          <w:tcPr>
            <w:tcW w:w="2085" w:type="dxa"/>
            <w:tcBorders>
              <w:top w:val="single" w:sz="8" w:space="0" w:color="000000"/>
              <w:left w:val="single" w:sz="8" w:space="0" w:color="000000"/>
              <w:bottom w:val="single" w:sz="8" w:space="0" w:color="000000"/>
              <w:right w:val="single" w:sz="8" w:space="0" w:color="000000"/>
            </w:tcBorders>
            <w:shd w:val="clear" w:color="auto" w:fill="auto"/>
          </w:tcPr>
          <w:p w14:paraId="56A2092E"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No offence</w:t>
            </w:r>
          </w:p>
        </w:tc>
      </w:tr>
      <w:tr w:rsidR="00171C2D" w:rsidRPr="00171C2D" w14:paraId="6EB34E45" w14:textId="77777777">
        <w:tc>
          <w:tcPr>
            <w:tcW w:w="2414" w:type="dxa"/>
            <w:tcBorders>
              <w:top w:val="single" w:sz="8" w:space="0" w:color="000000"/>
              <w:left w:val="single" w:sz="8" w:space="0" w:color="000000"/>
              <w:bottom w:val="single" w:sz="8" w:space="0" w:color="000000"/>
              <w:right w:val="single" w:sz="8" w:space="0" w:color="000000"/>
            </w:tcBorders>
            <w:shd w:val="clear" w:color="auto" w:fill="auto"/>
          </w:tcPr>
          <w:p w14:paraId="3F3FE8CA"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Communities United Party</w:t>
            </w:r>
          </w:p>
        </w:tc>
        <w:tc>
          <w:tcPr>
            <w:tcW w:w="4771" w:type="dxa"/>
            <w:tcBorders>
              <w:top w:val="single" w:sz="8" w:space="0" w:color="000000"/>
              <w:left w:val="single" w:sz="8" w:space="0" w:color="000000"/>
              <w:bottom w:val="single" w:sz="8" w:space="0" w:color="000000"/>
              <w:right w:val="single" w:sz="8" w:space="0" w:color="000000"/>
            </w:tcBorders>
            <w:shd w:val="clear" w:color="auto" w:fill="auto"/>
          </w:tcPr>
          <w:p w14:paraId="11D25398"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Failure to deliver spending return</w:t>
            </w:r>
          </w:p>
        </w:tc>
        <w:tc>
          <w:tcPr>
            <w:tcW w:w="2085" w:type="dxa"/>
            <w:tcBorders>
              <w:top w:val="single" w:sz="8" w:space="0" w:color="000000"/>
              <w:left w:val="single" w:sz="8" w:space="0" w:color="000000"/>
              <w:bottom w:val="single" w:sz="8" w:space="0" w:color="000000"/>
              <w:right w:val="single" w:sz="8" w:space="0" w:color="000000"/>
            </w:tcBorders>
            <w:shd w:val="clear" w:color="auto" w:fill="auto"/>
          </w:tcPr>
          <w:p w14:paraId="4CDDA943"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No offence</w:t>
            </w:r>
          </w:p>
        </w:tc>
      </w:tr>
      <w:tr w:rsidR="00171C2D" w:rsidRPr="00171C2D" w14:paraId="4F2D77FF" w14:textId="77777777">
        <w:tc>
          <w:tcPr>
            <w:tcW w:w="2414" w:type="dxa"/>
            <w:tcBorders>
              <w:top w:val="single" w:sz="8" w:space="0" w:color="000000"/>
              <w:left w:val="single" w:sz="8" w:space="0" w:color="000000"/>
              <w:bottom w:val="single" w:sz="8" w:space="0" w:color="000000"/>
              <w:right w:val="single" w:sz="8" w:space="0" w:color="000000"/>
            </w:tcBorders>
            <w:shd w:val="clear" w:color="auto" w:fill="auto"/>
          </w:tcPr>
          <w:p w14:paraId="6FCEB296"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Parent’s Choice</w:t>
            </w:r>
          </w:p>
        </w:tc>
        <w:tc>
          <w:tcPr>
            <w:tcW w:w="4771" w:type="dxa"/>
            <w:tcBorders>
              <w:top w:val="single" w:sz="8" w:space="0" w:color="000000"/>
              <w:left w:val="single" w:sz="8" w:space="0" w:color="000000"/>
              <w:bottom w:val="single" w:sz="8" w:space="0" w:color="000000"/>
              <w:right w:val="single" w:sz="8" w:space="0" w:color="000000"/>
            </w:tcBorders>
            <w:shd w:val="clear" w:color="auto" w:fill="auto"/>
          </w:tcPr>
          <w:p w14:paraId="67A618B4"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Failure to deliver accurate spending return</w:t>
            </w:r>
          </w:p>
        </w:tc>
        <w:tc>
          <w:tcPr>
            <w:tcW w:w="2085" w:type="dxa"/>
            <w:tcBorders>
              <w:top w:val="single" w:sz="8" w:space="0" w:color="000000"/>
              <w:left w:val="single" w:sz="8" w:space="0" w:color="000000"/>
              <w:bottom w:val="single" w:sz="8" w:space="0" w:color="000000"/>
              <w:right w:val="single" w:sz="8" w:space="0" w:color="000000"/>
            </w:tcBorders>
            <w:shd w:val="clear" w:color="auto" w:fill="auto"/>
          </w:tcPr>
          <w:p w14:paraId="6A0EA71A"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No determination of offence</w:t>
            </w:r>
          </w:p>
        </w:tc>
      </w:tr>
      <w:tr w:rsidR="00171C2D" w:rsidRPr="00171C2D" w14:paraId="0CC567D3" w14:textId="77777777">
        <w:tc>
          <w:tcPr>
            <w:tcW w:w="2414" w:type="dxa"/>
            <w:tcBorders>
              <w:top w:val="single" w:sz="8" w:space="0" w:color="000000"/>
              <w:left w:val="single" w:sz="8" w:space="0" w:color="000000"/>
              <w:bottom w:val="single" w:sz="8" w:space="0" w:color="000000"/>
              <w:right w:val="single" w:sz="8" w:space="0" w:color="000000"/>
            </w:tcBorders>
            <w:shd w:val="clear" w:color="auto" w:fill="auto"/>
          </w:tcPr>
          <w:p w14:paraId="1E614C87"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Sinn Féin</w:t>
            </w:r>
          </w:p>
        </w:tc>
        <w:tc>
          <w:tcPr>
            <w:tcW w:w="4771" w:type="dxa"/>
            <w:tcBorders>
              <w:top w:val="single" w:sz="8" w:space="0" w:color="000000"/>
              <w:left w:val="single" w:sz="8" w:space="0" w:color="000000"/>
              <w:bottom w:val="single" w:sz="8" w:space="0" w:color="000000"/>
              <w:right w:val="single" w:sz="8" w:space="0" w:color="000000"/>
            </w:tcBorders>
            <w:shd w:val="clear" w:color="auto" w:fill="auto"/>
          </w:tcPr>
          <w:p w14:paraId="15C1972F"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Failure to deliver accurate spending return</w:t>
            </w:r>
          </w:p>
        </w:tc>
        <w:tc>
          <w:tcPr>
            <w:tcW w:w="2085" w:type="dxa"/>
            <w:tcBorders>
              <w:top w:val="single" w:sz="8" w:space="0" w:color="000000"/>
              <w:left w:val="single" w:sz="8" w:space="0" w:color="000000"/>
              <w:bottom w:val="single" w:sz="8" w:space="0" w:color="000000"/>
              <w:right w:val="single" w:sz="8" w:space="0" w:color="000000"/>
            </w:tcBorders>
            <w:shd w:val="clear" w:color="auto" w:fill="auto"/>
          </w:tcPr>
          <w:p w14:paraId="3ED1AC22"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No sanction</w:t>
            </w:r>
          </w:p>
        </w:tc>
      </w:tr>
      <w:tr w:rsidR="00171C2D" w:rsidRPr="00171C2D" w14:paraId="40117956" w14:textId="77777777">
        <w:tc>
          <w:tcPr>
            <w:tcW w:w="2414" w:type="dxa"/>
            <w:tcBorders>
              <w:top w:val="single" w:sz="8" w:space="0" w:color="000000"/>
              <w:left w:val="single" w:sz="8" w:space="0" w:color="000000"/>
              <w:bottom w:val="single" w:sz="8" w:space="0" w:color="000000"/>
              <w:right w:val="single" w:sz="8" w:space="0" w:color="000000"/>
            </w:tcBorders>
            <w:shd w:val="clear" w:color="auto" w:fill="auto"/>
          </w:tcPr>
          <w:p w14:paraId="0C2CCA78"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Independent Network</w:t>
            </w:r>
          </w:p>
        </w:tc>
        <w:tc>
          <w:tcPr>
            <w:tcW w:w="4771" w:type="dxa"/>
            <w:tcBorders>
              <w:top w:val="single" w:sz="8" w:space="0" w:color="000000"/>
              <w:left w:val="single" w:sz="8" w:space="0" w:color="000000"/>
              <w:bottom w:val="single" w:sz="8" w:space="0" w:color="000000"/>
              <w:right w:val="single" w:sz="8" w:space="0" w:color="000000"/>
            </w:tcBorders>
            <w:shd w:val="clear" w:color="auto" w:fill="auto"/>
          </w:tcPr>
          <w:p w14:paraId="2D6015A4"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Late delivery of campaign spending return</w:t>
            </w:r>
          </w:p>
        </w:tc>
        <w:tc>
          <w:tcPr>
            <w:tcW w:w="2085" w:type="dxa"/>
            <w:tcBorders>
              <w:top w:val="single" w:sz="8" w:space="0" w:color="000000"/>
              <w:left w:val="single" w:sz="8" w:space="0" w:color="000000"/>
              <w:bottom w:val="single" w:sz="8" w:space="0" w:color="000000"/>
              <w:right w:val="single" w:sz="8" w:space="0" w:color="000000"/>
            </w:tcBorders>
            <w:shd w:val="clear" w:color="auto" w:fill="auto"/>
          </w:tcPr>
          <w:p w14:paraId="5A2B0952"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No sanction</w:t>
            </w:r>
          </w:p>
        </w:tc>
      </w:tr>
      <w:tr w:rsidR="00171C2D" w:rsidRPr="00171C2D" w14:paraId="325F1C6D" w14:textId="77777777">
        <w:tc>
          <w:tcPr>
            <w:tcW w:w="2414" w:type="dxa"/>
            <w:tcBorders>
              <w:top w:val="single" w:sz="8" w:space="0" w:color="000000"/>
              <w:left w:val="single" w:sz="8" w:space="0" w:color="000000"/>
              <w:bottom w:val="single" w:sz="8" w:space="0" w:color="000000"/>
              <w:right w:val="single" w:sz="8" w:space="0" w:color="000000"/>
            </w:tcBorders>
            <w:shd w:val="clear" w:color="auto" w:fill="auto"/>
          </w:tcPr>
          <w:p w14:paraId="7968BD51"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Scientists for EU</w:t>
            </w:r>
          </w:p>
        </w:tc>
        <w:tc>
          <w:tcPr>
            <w:tcW w:w="4771" w:type="dxa"/>
            <w:tcBorders>
              <w:top w:val="single" w:sz="8" w:space="0" w:color="000000"/>
              <w:left w:val="single" w:sz="8" w:space="0" w:color="000000"/>
              <w:bottom w:val="single" w:sz="8" w:space="0" w:color="000000"/>
              <w:right w:val="single" w:sz="8" w:space="0" w:color="000000"/>
            </w:tcBorders>
            <w:shd w:val="clear" w:color="auto" w:fill="auto"/>
          </w:tcPr>
          <w:p w14:paraId="4233CDE7"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Failure to deliver accurate spending return</w:t>
            </w:r>
          </w:p>
        </w:tc>
        <w:tc>
          <w:tcPr>
            <w:tcW w:w="2085" w:type="dxa"/>
            <w:tcBorders>
              <w:top w:val="single" w:sz="8" w:space="0" w:color="000000"/>
              <w:left w:val="single" w:sz="8" w:space="0" w:color="000000"/>
              <w:bottom w:val="single" w:sz="8" w:space="0" w:color="000000"/>
              <w:right w:val="single" w:sz="8" w:space="0" w:color="000000"/>
            </w:tcBorders>
            <w:shd w:val="clear" w:color="auto" w:fill="auto"/>
          </w:tcPr>
          <w:p w14:paraId="586EEBF6"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No sanction</w:t>
            </w:r>
          </w:p>
        </w:tc>
      </w:tr>
      <w:tr w:rsidR="00171C2D" w:rsidRPr="00171C2D" w14:paraId="012A96AC" w14:textId="77777777">
        <w:tc>
          <w:tcPr>
            <w:tcW w:w="2414" w:type="dxa"/>
            <w:tcBorders>
              <w:top w:val="single" w:sz="8" w:space="0" w:color="000000"/>
              <w:left w:val="single" w:sz="8" w:space="0" w:color="000000"/>
              <w:bottom w:val="single" w:sz="8" w:space="0" w:color="000000"/>
              <w:right w:val="single" w:sz="8" w:space="0" w:color="000000"/>
            </w:tcBorders>
            <w:shd w:val="clear" w:color="auto" w:fill="auto"/>
          </w:tcPr>
          <w:p w14:paraId="05D25632"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Working 4 UK</w:t>
            </w:r>
          </w:p>
        </w:tc>
        <w:tc>
          <w:tcPr>
            <w:tcW w:w="4771" w:type="dxa"/>
            <w:tcBorders>
              <w:top w:val="single" w:sz="8" w:space="0" w:color="000000"/>
              <w:left w:val="single" w:sz="8" w:space="0" w:color="000000"/>
              <w:bottom w:val="single" w:sz="8" w:space="0" w:color="000000"/>
              <w:right w:val="single" w:sz="8" w:space="0" w:color="000000"/>
            </w:tcBorders>
            <w:shd w:val="clear" w:color="auto" w:fill="auto"/>
          </w:tcPr>
          <w:p w14:paraId="71417269"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Failure to deliver complete spending return</w:t>
            </w:r>
          </w:p>
        </w:tc>
        <w:tc>
          <w:tcPr>
            <w:tcW w:w="2085" w:type="dxa"/>
            <w:tcBorders>
              <w:top w:val="single" w:sz="8" w:space="0" w:color="000000"/>
              <w:left w:val="single" w:sz="8" w:space="0" w:color="000000"/>
              <w:bottom w:val="single" w:sz="8" w:space="0" w:color="000000"/>
              <w:right w:val="single" w:sz="8" w:space="0" w:color="000000"/>
            </w:tcBorders>
            <w:shd w:val="clear" w:color="auto" w:fill="auto"/>
          </w:tcPr>
          <w:p w14:paraId="76CF1376"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No sanction</w:t>
            </w:r>
          </w:p>
        </w:tc>
      </w:tr>
      <w:tr w:rsidR="00171C2D" w:rsidRPr="00171C2D" w14:paraId="7C28134C" w14:textId="77777777">
        <w:tc>
          <w:tcPr>
            <w:tcW w:w="2414" w:type="dxa"/>
            <w:tcBorders>
              <w:top w:val="single" w:sz="8" w:space="0" w:color="000000"/>
              <w:left w:val="single" w:sz="8" w:space="0" w:color="000000"/>
              <w:bottom w:val="single" w:sz="8" w:space="0" w:color="000000"/>
              <w:right w:val="single" w:sz="8" w:space="0" w:color="000000"/>
            </w:tcBorders>
            <w:shd w:val="clear" w:color="auto" w:fill="auto"/>
          </w:tcPr>
          <w:p w14:paraId="59E30140"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Greenpeace</w:t>
            </w:r>
          </w:p>
        </w:tc>
        <w:tc>
          <w:tcPr>
            <w:tcW w:w="4771" w:type="dxa"/>
            <w:tcBorders>
              <w:top w:val="single" w:sz="8" w:space="0" w:color="000000"/>
              <w:left w:val="single" w:sz="8" w:space="0" w:color="000000"/>
              <w:bottom w:val="single" w:sz="8" w:space="0" w:color="000000"/>
              <w:right w:val="single" w:sz="8" w:space="0" w:color="000000"/>
            </w:tcBorders>
            <w:shd w:val="clear" w:color="auto" w:fill="auto"/>
          </w:tcPr>
          <w:p w14:paraId="74B3DA00"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Failure to deliver complete spending return</w:t>
            </w:r>
          </w:p>
          <w:p w14:paraId="32BF30EE"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Late delivery of campaign spending return</w:t>
            </w:r>
          </w:p>
        </w:tc>
        <w:tc>
          <w:tcPr>
            <w:tcW w:w="2085" w:type="dxa"/>
            <w:tcBorders>
              <w:top w:val="single" w:sz="8" w:space="0" w:color="000000"/>
              <w:left w:val="single" w:sz="8" w:space="0" w:color="000000"/>
              <w:bottom w:val="single" w:sz="8" w:space="0" w:color="000000"/>
              <w:right w:val="single" w:sz="8" w:space="0" w:color="000000"/>
            </w:tcBorders>
            <w:shd w:val="clear" w:color="auto" w:fill="auto"/>
          </w:tcPr>
          <w:p w14:paraId="6BC4E8E9"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No offence</w:t>
            </w:r>
          </w:p>
        </w:tc>
      </w:tr>
      <w:tr w:rsidR="00171C2D" w:rsidRPr="00171C2D" w14:paraId="5797FCCE" w14:textId="77777777">
        <w:tc>
          <w:tcPr>
            <w:tcW w:w="2414" w:type="dxa"/>
            <w:tcBorders>
              <w:top w:val="single" w:sz="8" w:space="0" w:color="000000"/>
              <w:left w:val="single" w:sz="8" w:space="0" w:color="000000"/>
              <w:bottom w:val="single" w:sz="8" w:space="0" w:color="000000"/>
              <w:right w:val="single" w:sz="8" w:space="0" w:color="000000"/>
            </w:tcBorders>
            <w:shd w:val="clear" w:color="auto" w:fill="auto"/>
          </w:tcPr>
          <w:p w14:paraId="2879571A" w14:textId="77777777" w:rsidR="00B556DE" w:rsidRPr="00171C2D" w:rsidRDefault="000D6BB0">
            <w:pPr>
              <w:widowControl w:val="0"/>
              <w:spacing w:line="240" w:lineRule="auto"/>
              <w:rPr>
                <w:rFonts w:ascii="Avenir" w:eastAsia="Avenir" w:hAnsi="Avenir" w:cs="Avenir"/>
                <w:highlight w:val="white"/>
                <w:lang w:val="en-GB"/>
              </w:rPr>
            </w:pPr>
            <w:proofErr w:type="spellStart"/>
            <w:r w:rsidRPr="00171C2D">
              <w:rPr>
                <w:rFonts w:ascii="Avenir" w:eastAsia="Avenir" w:hAnsi="Avenir" w:cs="Avenir"/>
                <w:highlight w:val="white"/>
                <w:lang w:val="en-GB"/>
              </w:rPr>
              <w:t>Tactical.vote</w:t>
            </w:r>
            <w:proofErr w:type="spellEnd"/>
          </w:p>
        </w:tc>
        <w:tc>
          <w:tcPr>
            <w:tcW w:w="4771" w:type="dxa"/>
            <w:tcBorders>
              <w:top w:val="single" w:sz="8" w:space="0" w:color="000000"/>
              <w:left w:val="single" w:sz="8" w:space="0" w:color="000000"/>
              <w:bottom w:val="single" w:sz="8" w:space="0" w:color="000000"/>
              <w:right w:val="single" w:sz="8" w:space="0" w:color="000000"/>
            </w:tcBorders>
            <w:shd w:val="clear" w:color="auto" w:fill="auto"/>
          </w:tcPr>
          <w:p w14:paraId="520F4A19"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Failure to deliver complete spending return</w:t>
            </w:r>
          </w:p>
        </w:tc>
        <w:tc>
          <w:tcPr>
            <w:tcW w:w="2085" w:type="dxa"/>
            <w:tcBorders>
              <w:top w:val="single" w:sz="8" w:space="0" w:color="000000"/>
              <w:left w:val="single" w:sz="8" w:space="0" w:color="000000"/>
              <w:bottom w:val="single" w:sz="8" w:space="0" w:color="000000"/>
              <w:right w:val="single" w:sz="8" w:space="0" w:color="000000"/>
            </w:tcBorders>
            <w:shd w:val="clear" w:color="auto" w:fill="auto"/>
          </w:tcPr>
          <w:p w14:paraId="2F9A9021"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No offence</w:t>
            </w:r>
          </w:p>
        </w:tc>
      </w:tr>
      <w:tr w:rsidR="00171C2D" w:rsidRPr="00171C2D" w14:paraId="631BE7F5" w14:textId="77777777">
        <w:tc>
          <w:tcPr>
            <w:tcW w:w="2414" w:type="dxa"/>
            <w:tcBorders>
              <w:top w:val="single" w:sz="8" w:space="0" w:color="000000"/>
              <w:left w:val="single" w:sz="8" w:space="0" w:color="000000"/>
              <w:bottom w:val="single" w:sz="8" w:space="0" w:color="000000"/>
              <w:right w:val="single" w:sz="8" w:space="0" w:color="000000"/>
            </w:tcBorders>
            <w:shd w:val="clear" w:color="auto" w:fill="auto"/>
          </w:tcPr>
          <w:p w14:paraId="7CCA5B3A"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Fair Tax Campaign</w:t>
            </w:r>
          </w:p>
        </w:tc>
        <w:tc>
          <w:tcPr>
            <w:tcW w:w="4771" w:type="dxa"/>
            <w:tcBorders>
              <w:top w:val="single" w:sz="8" w:space="0" w:color="000000"/>
              <w:left w:val="single" w:sz="8" w:space="0" w:color="000000"/>
              <w:bottom w:val="single" w:sz="8" w:space="0" w:color="000000"/>
              <w:right w:val="single" w:sz="8" w:space="0" w:color="000000"/>
            </w:tcBorders>
            <w:shd w:val="clear" w:color="auto" w:fill="auto"/>
          </w:tcPr>
          <w:p w14:paraId="7A1AAB97"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Failure to deliver complete spending return</w:t>
            </w:r>
          </w:p>
        </w:tc>
        <w:tc>
          <w:tcPr>
            <w:tcW w:w="2085" w:type="dxa"/>
            <w:tcBorders>
              <w:top w:val="single" w:sz="8" w:space="0" w:color="000000"/>
              <w:left w:val="single" w:sz="8" w:space="0" w:color="000000"/>
              <w:bottom w:val="single" w:sz="8" w:space="0" w:color="000000"/>
              <w:right w:val="single" w:sz="8" w:space="0" w:color="000000"/>
            </w:tcBorders>
            <w:shd w:val="clear" w:color="auto" w:fill="auto"/>
          </w:tcPr>
          <w:p w14:paraId="6C35B2DE"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No offence</w:t>
            </w:r>
          </w:p>
        </w:tc>
      </w:tr>
      <w:tr w:rsidR="0034269B" w:rsidRPr="00171C2D" w14:paraId="20FAEEEF" w14:textId="77777777">
        <w:tc>
          <w:tcPr>
            <w:tcW w:w="2414" w:type="dxa"/>
            <w:tcBorders>
              <w:top w:val="single" w:sz="8" w:space="0" w:color="000000"/>
              <w:left w:val="single" w:sz="8" w:space="0" w:color="000000"/>
              <w:bottom w:val="single" w:sz="8" w:space="0" w:color="000000"/>
              <w:right w:val="single" w:sz="8" w:space="0" w:color="000000"/>
            </w:tcBorders>
            <w:shd w:val="clear" w:color="auto" w:fill="auto"/>
          </w:tcPr>
          <w:p w14:paraId="409E7ED7"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Global Justice Now</w:t>
            </w:r>
          </w:p>
        </w:tc>
        <w:tc>
          <w:tcPr>
            <w:tcW w:w="4771" w:type="dxa"/>
            <w:tcBorders>
              <w:top w:val="single" w:sz="8" w:space="0" w:color="000000"/>
              <w:left w:val="single" w:sz="8" w:space="0" w:color="000000"/>
              <w:bottom w:val="single" w:sz="8" w:space="0" w:color="000000"/>
              <w:right w:val="single" w:sz="8" w:space="0" w:color="000000"/>
            </w:tcBorders>
            <w:shd w:val="clear" w:color="auto" w:fill="auto"/>
          </w:tcPr>
          <w:p w14:paraId="1B74D9F8"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Failure to deliver all invoices</w:t>
            </w:r>
          </w:p>
        </w:tc>
        <w:tc>
          <w:tcPr>
            <w:tcW w:w="2085" w:type="dxa"/>
            <w:tcBorders>
              <w:top w:val="single" w:sz="8" w:space="0" w:color="000000"/>
              <w:left w:val="single" w:sz="8" w:space="0" w:color="000000"/>
              <w:bottom w:val="single" w:sz="8" w:space="0" w:color="000000"/>
              <w:right w:val="single" w:sz="8" w:space="0" w:color="000000"/>
            </w:tcBorders>
            <w:shd w:val="clear" w:color="auto" w:fill="auto"/>
          </w:tcPr>
          <w:p w14:paraId="6CDACD17" w14:textId="77777777" w:rsidR="00B556DE" w:rsidRPr="00171C2D" w:rsidRDefault="000D6BB0">
            <w:pPr>
              <w:widowControl w:val="0"/>
              <w:spacing w:line="240" w:lineRule="auto"/>
              <w:rPr>
                <w:rFonts w:ascii="Avenir" w:eastAsia="Avenir" w:hAnsi="Avenir" w:cs="Avenir"/>
                <w:highlight w:val="white"/>
                <w:lang w:val="en-GB"/>
              </w:rPr>
            </w:pPr>
            <w:r w:rsidRPr="00171C2D">
              <w:rPr>
                <w:rFonts w:ascii="Avenir" w:eastAsia="Avenir" w:hAnsi="Avenir" w:cs="Avenir"/>
                <w:highlight w:val="white"/>
                <w:lang w:val="en-GB"/>
              </w:rPr>
              <w:t>No offence</w:t>
            </w:r>
          </w:p>
        </w:tc>
      </w:tr>
    </w:tbl>
    <w:p w14:paraId="55ACF8CD" w14:textId="72DE2A8F" w:rsidR="00B556DE" w:rsidRPr="00AB5DE4" w:rsidRDefault="00AB5DE4">
      <w:pPr>
        <w:jc w:val="both"/>
        <w:rPr>
          <w:rFonts w:ascii="Avenir" w:eastAsia="Avenir" w:hAnsi="Avenir" w:cs="Avenir"/>
          <w:bCs/>
          <w:lang w:val="en-GB"/>
        </w:rPr>
      </w:pPr>
      <w:r w:rsidRPr="00AB5DE4">
        <w:rPr>
          <w:rFonts w:ascii="Avenir" w:eastAsia="Avenir" w:hAnsi="Avenir" w:cs="Avenir"/>
          <w:bCs/>
          <w:i/>
          <w:iCs/>
          <w:lang w:val="en-GB"/>
        </w:rPr>
        <w:t>Source</w:t>
      </w:r>
      <w:r>
        <w:rPr>
          <w:rFonts w:ascii="Avenir" w:eastAsia="Avenir" w:hAnsi="Avenir" w:cs="Avenir"/>
          <w:bCs/>
          <w:lang w:val="en-GB"/>
        </w:rPr>
        <w:t xml:space="preserve">: </w:t>
      </w:r>
      <w:r w:rsidR="00CD2046">
        <w:rPr>
          <w:rFonts w:ascii="Avenir" w:eastAsia="Avenir" w:hAnsi="Avenir" w:cs="Avenir"/>
          <w:bCs/>
          <w:lang w:val="en-GB"/>
        </w:rPr>
        <w:t xml:space="preserve">UK </w:t>
      </w:r>
      <w:r w:rsidR="00BB7499">
        <w:rPr>
          <w:rFonts w:ascii="Avenir" w:eastAsia="Avenir" w:hAnsi="Avenir" w:cs="Avenir"/>
          <w:bCs/>
          <w:lang w:val="en-GB"/>
        </w:rPr>
        <w:t xml:space="preserve">Electoral Commission. (no date) ‘Investigations’, available at: </w:t>
      </w:r>
      <w:hyperlink r:id="rId22" w:history="1">
        <w:r w:rsidR="00BB7499" w:rsidRPr="00BB7499">
          <w:rPr>
            <w:rStyle w:val="Hyperlink"/>
            <w:rFonts w:ascii="Avenir" w:eastAsia="Avenir" w:hAnsi="Avenir" w:cs="Avenir"/>
            <w:bCs/>
            <w:lang w:val="en-GB"/>
          </w:rPr>
          <w:t>https://www.electoralcommission.org.uk/who-we-are-and-what-we-do/our-enforcement-work/investigations</w:t>
        </w:r>
      </w:hyperlink>
      <w:r w:rsidR="00BB7499">
        <w:rPr>
          <w:rFonts w:ascii="Avenir" w:eastAsia="Avenir" w:hAnsi="Avenir" w:cs="Avenir"/>
          <w:bCs/>
          <w:lang w:val="en-GB"/>
        </w:rPr>
        <w:t xml:space="preserve">. </w:t>
      </w:r>
    </w:p>
    <w:p w14:paraId="1A7EEF9E" w14:textId="77777777" w:rsidR="00AB5DE4" w:rsidRPr="00171C2D" w:rsidRDefault="00AB5DE4">
      <w:pPr>
        <w:jc w:val="both"/>
        <w:rPr>
          <w:rFonts w:ascii="Avenir" w:eastAsia="Avenir" w:hAnsi="Avenir" w:cs="Avenir"/>
          <w:b/>
          <w:u w:val="single"/>
          <w:lang w:val="en-GB"/>
        </w:rPr>
      </w:pPr>
    </w:p>
    <w:p w14:paraId="480A4242" w14:textId="04D6B3B8" w:rsidR="00453E3D" w:rsidRPr="00171C2D" w:rsidRDefault="00453E3D" w:rsidP="00453E3D">
      <w:pPr>
        <w:jc w:val="both"/>
        <w:rPr>
          <w:rFonts w:ascii="Avenir" w:eastAsia="Avenir" w:hAnsi="Avenir" w:cs="Avenir"/>
          <w:highlight w:val="white"/>
          <w:lang w:val="en-GB"/>
        </w:rPr>
      </w:pPr>
      <w:r w:rsidRPr="00171C2D">
        <w:rPr>
          <w:rFonts w:ascii="Avenir" w:eastAsia="Avenir" w:hAnsi="Avenir" w:cs="Avenir"/>
          <w:highlight w:val="white"/>
          <w:lang w:val="en-GB"/>
        </w:rPr>
        <w:t xml:space="preserve">Considerations for </w:t>
      </w:r>
      <w:r w:rsidR="0054729B" w:rsidRPr="00171C2D">
        <w:rPr>
          <w:rFonts w:ascii="Avenir" w:eastAsia="Avenir" w:hAnsi="Avenir" w:cs="Avenir"/>
          <w:lang w:val="en-GB"/>
        </w:rPr>
        <w:t>the UK Electoral Commission</w:t>
      </w:r>
      <w:r w:rsidRPr="00171C2D">
        <w:rPr>
          <w:rFonts w:ascii="Avenir" w:eastAsia="Avenir" w:hAnsi="Avenir" w:cs="Avenir"/>
          <w:lang w:val="en-GB"/>
        </w:rPr>
        <w:t xml:space="preserve"> </w:t>
      </w:r>
      <w:r w:rsidRPr="00171C2D">
        <w:rPr>
          <w:rFonts w:ascii="Avenir" w:eastAsia="Avenir" w:hAnsi="Avenir" w:cs="Avenir"/>
          <w:highlight w:val="white"/>
          <w:lang w:val="en-GB"/>
        </w:rPr>
        <w:t>include:</w:t>
      </w:r>
    </w:p>
    <w:p w14:paraId="4C9CC36E" w14:textId="3CB146ED" w:rsidR="00453E3D" w:rsidRPr="00171C2D" w:rsidRDefault="00453E3D" w:rsidP="00453E3D">
      <w:pPr>
        <w:numPr>
          <w:ilvl w:val="0"/>
          <w:numId w:val="31"/>
        </w:numPr>
        <w:jc w:val="both"/>
        <w:rPr>
          <w:rFonts w:ascii="Avenir" w:eastAsia="Avenir" w:hAnsi="Avenir" w:cs="Avenir"/>
          <w:highlight w:val="white"/>
          <w:lang w:val="en-GB"/>
        </w:rPr>
      </w:pPr>
      <w:r w:rsidRPr="00171C2D">
        <w:rPr>
          <w:rFonts w:ascii="Avenir" w:eastAsia="Avenir" w:hAnsi="Avenir" w:cs="Avenir"/>
          <w:highlight w:val="white"/>
          <w:lang w:val="en-GB"/>
        </w:rPr>
        <w:lastRenderedPageBreak/>
        <w:t>Establish clear</w:t>
      </w:r>
      <w:r w:rsidR="000F36C0" w:rsidRPr="00171C2D">
        <w:rPr>
          <w:rFonts w:ascii="Avenir" w:eastAsia="Avenir" w:hAnsi="Avenir" w:cs="Avenir"/>
          <w:highlight w:val="white"/>
          <w:lang w:val="en-GB"/>
        </w:rPr>
        <w:t>er</w:t>
      </w:r>
      <w:r w:rsidRPr="00171C2D">
        <w:rPr>
          <w:rFonts w:ascii="Avenir" w:eastAsia="Avenir" w:hAnsi="Avenir" w:cs="Avenir"/>
          <w:highlight w:val="white"/>
          <w:lang w:val="en-GB"/>
        </w:rPr>
        <w:t xml:space="preserve"> and </w:t>
      </w:r>
      <w:r w:rsidR="00D42BCB" w:rsidRPr="00171C2D">
        <w:rPr>
          <w:rFonts w:ascii="Avenir" w:eastAsia="Avenir" w:hAnsi="Avenir" w:cs="Avenir"/>
          <w:highlight w:val="white"/>
          <w:lang w:val="en-GB"/>
        </w:rPr>
        <w:t xml:space="preserve">more </w:t>
      </w:r>
      <w:r w:rsidRPr="00171C2D">
        <w:rPr>
          <w:rFonts w:ascii="Avenir" w:eastAsia="Avenir" w:hAnsi="Avenir" w:cs="Avenir"/>
          <w:highlight w:val="white"/>
          <w:lang w:val="en-GB"/>
        </w:rPr>
        <w:t xml:space="preserve">transparent processes for reporting all cases of suspected financial reporting malpractice examined, including those that are not eventually subject to a full investigation. This should involve reporting outcomes at each stage and declaring the criteria used to determine the action taken. </w:t>
      </w:r>
      <w:bookmarkStart w:id="7" w:name="_Hlk98171062"/>
      <w:bookmarkEnd w:id="7"/>
    </w:p>
    <w:p w14:paraId="0BF4C3DA" w14:textId="77777777" w:rsidR="00453E3D" w:rsidRPr="00171C2D" w:rsidRDefault="00453E3D">
      <w:pPr>
        <w:jc w:val="both"/>
        <w:rPr>
          <w:rFonts w:ascii="Avenir" w:eastAsia="Avenir" w:hAnsi="Avenir" w:cs="Avenir"/>
          <w:b/>
          <w:u w:val="single"/>
          <w:lang w:val="en-GB"/>
        </w:rPr>
      </w:pPr>
    </w:p>
    <w:tbl>
      <w:tblPr>
        <w:tblW w:w="9360" w:type="dxa"/>
        <w:tblCellMar>
          <w:top w:w="100" w:type="dxa"/>
          <w:left w:w="100" w:type="dxa"/>
          <w:bottom w:w="100" w:type="dxa"/>
          <w:right w:w="100" w:type="dxa"/>
        </w:tblCellMar>
        <w:tblLook w:val="0600" w:firstRow="0" w:lastRow="0" w:firstColumn="0" w:lastColumn="0" w:noHBand="1" w:noVBand="1"/>
      </w:tblPr>
      <w:tblGrid>
        <w:gridCol w:w="9360"/>
      </w:tblGrid>
      <w:tr w:rsidR="007E2213" w:rsidRPr="00171C2D" w14:paraId="60A4F642" w14:textId="77777777">
        <w:tc>
          <w:tcPr>
            <w:tcW w:w="9360" w:type="dxa"/>
            <w:tcBorders>
              <w:top w:val="single" w:sz="8" w:space="0" w:color="000000"/>
              <w:left w:val="single" w:sz="8" w:space="0" w:color="000000"/>
              <w:bottom w:val="single" w:sz="8" w:space="0" w:color="000000"/>
              <w:right w:val="single" w:sz="8" w:space="0" w:color="000000"/>
            </w:tcBorders>
            <w:shd w:val="clear" w:color="auto" w:fill="auto"/>
          </w:tcPr>
          <w:p w14:paraId="7262A684" w14:textId="77777777" w:rsidR="00B556DE" w:rsidRPr="007E2213" w:rsidRDefault="000D6BB0">
            <w:pPr>
              <w:widowControl w:val="0"/>
              <w:spacing w:line="240" w:lineRule="auto"/>
              <w:rPr>
                <w:rFonts w:ascii="Avenir" w:eastAsia="Avenir" w:hAnsi="Avenir" w:cs="Avenir"/>
                <w:b/>
                <w:lang w:val="en-GB"/>
              </w:rPr>
            </w:pPr>
            <w:r w:rsidRPr="007E2213">
              <w:rPr>
                <w:rFonts w:ascii="Avenir" w:eastAsia="Avenir" w:hAnsi="Avenir" w:cs="Avenir"/>
                <w:b/>
                <w:lang w:val="en-GB"/>
              </w:rPr>
              <w:t>Section summary</w:t>
            </w:r>
          </w:p>
          <w:p w14:paraId="4D9B030C" w14:textId="77777777" w:rsidR="00B556DE" w:rsidRPr="007E2213" w:rsidRDefault="00B556DE" w:rsidP="007E2213">
            <w:pPr>
              <w:widowControl w:val="0"/>
              <w:spacing w:line="240" w:lineRule="auto"/>
              <w:rPr>
                <w:rFonts w:ascii="Avenir" w:eastAsia="Avenir" w:hAnsi="Avenir" w:cs="Avenir"/>
                <w:bCs/>
                <w:u w:val="single"/>
                <w:lang w:val="en-GB"/>
              </w:rPr>
            </w:pPr>
          </w:p>
          <w:p w14:paraId="4ED0CF2E" w14:textId="77777777" w:rsidR="00B556DE" w:rsidRPr="007E2213" w:rsidRDefault="000D6BB0" w:rsidP="007E2213">
            <w:pPr>
              <w:pStyle w:val="ListParagraph"/>
              <w:widowControl w:val="0"/>
              <w:numPr>
                <w:ilvl w:val="0"/>
                <w:numId w:val="64"/>
              </w:numPr>
              <w:spacing w:line="240" w:lineRule="auto"/>
              <w:rPr>
                <w:rFonts w:ascii="Avenir" w:eastAsia="Avenir" w:hAnsi="Avenir" w:cs="Avenir"/>
                <w:bCs/>
                <w:lang w:val="en-GB"/>
              </w:rPr>
            </w:pPr>
            <w:r w:rsidRPr="007E2213">
              <w:rPr>
                <w:rFonts w:ascii="Avenir" w:eastAsia="Avenir" w:hAnsi="Avenir" w:cs="Avenir"/>
                <w:bCs/>
                <w:lang w:val="en-GB"/>
              </w:rPr>
              <w:t>23 organizations were investigated for non-compliant reporting of their campaign spending, 13 of which were deemed to have committed an offence.</w:t>
            </w:r>
          </w:p>
          <w:p w14:paraId="3BA90029" w14:textId="43DC9B88" w:rsidR="00B556DE" w:rsidRPr="007E2213" w:rsidRDefault="000D6BB0" w:rsidP="007E2213">
            <w:pPr>
              <w:pStyle w:val="ListParagraph"/>
              <w:widowControl w:val="0"/>
              <w:numPr>
                <w:ilvl w:val="0"/>
                <w:numId w:val="64"/>
              </w:numPr>
              <w:spacing w:line="240" w:lineRule="auto"/>
              <w:rPr>
                <w:rFonts w:ascii="Avenir" w:eastAsia="Avenir" w:hAnsi="Avenir" w:cs="Avenir"/>
                <w:bCs/>
                <w:lang w:val="en-GB"/>
              </w:rPr>
            </w:pPr>
            <w:r w:rsidRPr="007E2213">
              <w:rPr>
                <w:rFonts w:ascii="Avenir" w:eastAsia="Avenir" w:hAnsi="Avenir" w:cs="Avenir"/>
                <w:bCs/>
                <w:lang w:val="en-GB"/>
              </w:rPr>
              <w:t xml:space="preserve">Only five parties committed offences that were considered serious enough to warrant a financial penalty (the maximum of which was </w:t>
            </w:r>
            <w:r w:rsidR="009014F3" w:rsidRPr="007E2213">
              <w:rPr>
                <w:rFonts w:ascii="Avenir" w:eastAsia="Avenir" w:hAnsi="Avenir" w:cs="Avenir"/>
                <w:bCs/>
                <w:lang w:val="en-GB"/>
              </w:rPr>
              <w:t>GBP </w:t>
            </w:r>
            <w:r w:rsidRPr="007E2213">
              <w:rPr>
                <w:rFonts w:ascii="Avenir" w:eastAsia="Avenir" w:hAnsi="Avenir" w:cs="Avenir"/>
                <w:bCs/>
                <w:lang w:val="en-GB"/>
              </w:rPr>
              <w:t>2,800).</w:t>
            </w:r>
          </w:p>
          <w:p w14:paraId="5D7806AD" w14:textId="77777777" w:rsidR="00B556DE" w:rsidRPr="007E2213" w:rsidRDefault="000D6BB0" w:rsidP="007E2213">
            <w:pPr>
              <w:pStyle w:val="ListParagraph"/>
              <w:widowControl w:val="0"/>
              <w:numPr>
                <w:ilvl w:val="0"/>
                <w:numId w:val="64"/>
              </w:numPr>
              <w:spacing w:line="240" w:lineRule="auto"/>
              <w:rPr>
                <w:rFonts w:ascii="Avenir" w:eastAsia="Avenir" w:hAnsi="Avenir" w:cs="Avenir"/>
                <w:b/>
                <w:lang w:val="en-GB"/>
              </w:rPr>
            </w:pPr>
            <w:r w:rsidRPr="007E2213">
              <w:rPr>
                <w:rFonts w:ascii="Avenir" w:eastAsia="Avenir" w:hAnsi="Avenir" w:cs="Avenir"/>
                <w:bCs/>
                <w:lang w:val="en-GB"/>
              </w:rPr>
              <w:t>None of the parties investigated were the ‘main’ parties at the 2019 General Election, although the Conservatives and the Liberal Democrats faced significant fines in other recent UK elections.</w:t>
            </w:r>
          </w:p>
        </w:tc>
      </w:tr>
    </w:tbl>
    <w:p w14:paraId="338832E5" w14:textId="77777777" w:rsidR="00B556DE" w:rsidRPr="00171C2D" w:rsidRDefault="00B556DE">
      <w:pPr>
        <w:rPr>
          <w:lang w:val="en-GB"/>
        </w:rPr>
      </w:pPr>
    </w:p>
    <w:p w14:paraId="408ACA58" w14:textId="77777777" w:rsidR="00F47A14" w:rsidRDefault="00F47A14" w:rsidP="00F47A14">
      <w:pPr>
        <w:pStyle w:val="Heading2"/>
        <w:numPr>
          <w:ilvl w:val="0"/>
          <w:numId w:val="0"/>
        </w:numPr>
        <w:rPr>
          <w:lang w:val="en-GB"/>
        </w:rPr>
      </w:pPr>
      <w:r>
        <w:rPr>
          <w:lang w:val="en-GB"/>
        </w:rPr>
        <w:t>Chapter 4</w:t>
      </w:r>
    </w:p>
    <w:p w14:paraId="0B154AC5" w14:textId="7B5D2CC0" w:rsidR="00B556DE" w:rsidRPr="00171C2D" w:rsidRDefault="000D6BB0" w:rsidP="00F47A14">
      <w:pPr>
        <w:pStyle w:val="Heading2"/>
        <w:numPr>
          <w:ilvl w:val="0"/>
          <w:numId w:val="0"/>
        </w:numPr>
        <w:rPr>
          <w:lang w:val="en-GB"/>
        </w:rPr>
      </w:pPr>
      <w:r w:rsidRPr="00171C2D">
        <w:rPr>
          <w:lang w:val="en-GB"/>
        </w:rPr>
        <w:t>Recategorizing the database</w:t>
      </w:r>
    </w:p>
    <w:p w14:paraId="4AE2174C" w14:textId="383DDD86"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Having reviewed general insights on transparency and spending from the Electoral Commission database, the report now considers what else can be discovered about suppliers’ activities within election campaigns. At present, the Electoral Commission provides 10 categories that are used to classify the type of service a supplier provides. These categories have been widely </w:t>
      </w:r>
      <w:r w:rsidR="000B5487" w:rsidRPr="00171C2D">
        <w:rPr>
          <w:rFonts w:ascii="Avenir" w:eastAsia="Avenir" w:hAnsi="Avenir" w:cs="Avenir"/>
          <w:lang w:val="en-GB"/>
        </w:rPr>
        <w:t>critiqued and</w:t>
      </w:r>
      <w:r w:rsidRPr="00171C2D">
        <w:rPr>
          <w:rFonts w:ascii="Avenir" w:eastAsia="Avenir" w:hAnsi="Avenir" w:cs="Avenir"/>
          <w:lang w:val="en-GB"/>
        </w:rPr>
        <w:t xml:space="preserve"> are kept under review by the Electoral Commission itself. </w:t>
      </w:r>
      <w:r w:rsidR="00B57D0D" w:rsidRPr="00171C2D">
        <w:rPr>
          <w:rFonts w:ascii="Avenir" w:eastAsia="Avenir" w:hAnsi="Avenir" w:cs="Avenir"/>
          <w:lang w:val="en-GB"/>
        </w:rPr>
        <w:t>The problem is related to</w:t>
      </w:r>
      <w:r w:rsidRPr="00171C2D">
        <w:rPr>
          <w:rFonts w:ascii="Avenir" w:eastAsia="Avenir" w:hAnsi="Avenir" w:cs="Avenir"/>
          <w:lang w:val="en-GB"/>
        </w:rPr>
        <w:t xml:space="preserve"> the breadth and relevance of these category headings—they provide limited detail of the precise service </w:t>
      </w:r>
      <w:r w:rsidR="00453E3D" w:rsidRPr="00171C2D">
        <w:rPr>
          <w:rFonts w:ascii="Avenir" w:eastAsia="Avenir" w:hAnsi="Avenir" w:cs="Avenir"/>
          <w:lang w:val="en-GB"/>
        </w:rPr>
        <w:t>being</w:t>
      </w:r>
      <w:r w:rsidRPr="00171C2D">
        <w:rPr>
          <w:rFonts w:ascii="Avenir" w:eastAsia="Avenir" w:hAnsi="Avenir" w:cs="Avenir"/>
          <w:lang w:val="en-GB"/>
        </w:rPr>
        <w:t xml:space="preserve"> performed for parties, and these longstanding headings </w:t>
      </w:r>
      <w:r w:rsidR="00B57D0D" w:rsidRPr="00171C2D">
        <w:rPr>
          <w:rFonts w:ascii="Avenir" w:eastAsia="Avenir" w:hAnsi="Avenir" w:cs="Avenir"/>
          <w:lang w:val="en-GB"/>
        </w:rPr>
        <w:t xml:space="preserve">fail </w:t>
      </w:r>
      <w:r w:rsidRPr="00171C2D">
        <w:rPr>
          <w:rFonts w:ascii="Avenir" w:eastAsia="Avenir" w:hAnsi="Avenir" w:cs="Avenir"/>
          <w:lang w:val="en-GB"/>
        </w:rPr>
        <w:t xml:space="preserve">to capture more modern forms of campaigning activity. The consistency with which these categories are applied </w:t>
      </w:r>
      <w:r w:rsidR="00B57D0D" w:rsidRPr="00171C2D">
        <w:rPr>
          <w:rFonts w:ascii="Avenir" w:eastAsia="Avenir" w:hAnsi="Avenir" w:cs="Avenir"/>
          <w:lang w:val="en-GB"/>
        </w:rPr>
        <w:t>is also an issue</w:t>
      </w:r>
      <w:r w:rsidRPr="00171C2D">
        <w:rPr>
          <w:rFonts w:ascii="Avenir" w:eastAsia="Avenir" w:hAnsi="Avenir" w:cs="Avenir"/>
          <w:lang w:val="en-GB"/>
        </w:rPr>
        <w:t xml:space="preserve">, as suppliers providing apparently single services are often classified under different categories. In the research team’s analysis, for example, invoices from Facebook were classified as advertising, media, unsolicited material to electors, and overheads and general administration. While these differences may reflect different services, they may also reflect different interpretations by parties of the correct reporting category—making it difficult to use Electoral Commission headings to gain an impression of what these suppliers are </w:t>
      </w:r>
      <w:proofErr w:type="gramStart"/>
      <w:r w:rsidRPr="00171C2D">
        <w:rPr>
          <w:rFonts w:ascii="Avenir" w:eastAsia="Avenir" w:hAnsi="Avenir" w:cs="Avenir"/>
          <w:iCs/>
          <w:lang w:val="en-GB"/>
        </w:rPr>
        <w:t>actually</w:t>
      </w:r>
      <w:r w:rsidRPr="00171C2D">
        <w:rPr>
          <w:rFonts w:ascii="Avenir" w:eastAsia="Avenir" w:hAnsi="Avenir" w:cs="Avenir"/>
          <w:i/>
          <w:lang w:val="en-GB"/>
        </w:rPr>
        <w:t xml:space="preserve"> </w:t>
      </w:r>
      <w:r w:rsidRPr="00171C2D">
        <w:rPr>
          <w:rFonts w:ascii="Avenir" w:eastAsia="Avenir" w:hAnsi="Avenir" w:cs="Avenir"/>
          <w:lang w:val="en-GB"/>
        </w:rPr>
        <w:t>doing</w:t>
      </w:r>
      <w:proofErr w:type="gramEnd"/>
      <w:r w:rsidRPr="00171C2D">
        <w:rPr>
          <w:rFonts w:ascii="Avenir" w:eastAsia="Avenir" w:hAnsi="Avenir" w:cs="Avenir"/>
          <w:lang w:val="en-GB"/>
        </w:rPr>
        <w:t>. Moreover, between a Facebook invoice submitted as ‘advertising’</w:t>
      </w:r>
      <w:r w:rsidRPr="00171C2D">
        <w:rPr>
          <w:rStyle w:val="FootnoteAnchor"/>
          <w:rFonts w:ascii="Avenir" w:eastAsia="Avenir" w:hAnsi="Avenir" w:cs="Avenir"/>
          <w:lang w:val="en-GB"/>
        </w:rPr>
        <w:footnoteReference w:id="21"/>
      </w:r>
      <w:r w:rsidRPr="00171C2D">
        <w:rPr>
          <w:rFonts w:ascii="Avenir" w:eastAsia="Avenir" w:hAnsi="Avenir" w:cs="Avenir"/>
          <w:lang w:val="en-GB"/>
        </w:rPr>
        <w:t xml:space="preserve"> and one submitted as ‘media’,</w:t>
      </w:r>
      <w:r w:rsidRPr="00171C2D">
        <w:rPr>
          <w:rStyle w:val="FootnoteAnchor"/>
          <w:rFonts w:ascii="Avenir" w:eastAsia="Avenir" w:hAnsi="Avenir" w:cs="Avenir"/>
          <w:lang w:val="en-GB"/>
        </w:rPr>
        <w:footnoteReference w:id="22"/>
      </w:r>
      <w:r w:rsidRPr="00171C2D">
        <w:rPr>
          <w:rFonts w:ascii="Avenir" w:eastAsia="Avenir" w:hAnsi="Avenir" w:cs="Avenir"/>
          <w:lang w:val="en-GB"/>
        </w:rPr>
        <w:t xml:space="preserve"> there is little functional difference.</w:t>
      </w:r>
    </w:p>
    <w:p w14:paraId="5EA48D22" w14:textId="77777777" w:rsidR="00B556DE" w:rsidRPr="00171C2D" w:rsidRDefault="00B556DE">
      <w:pPr>
        <w:jc w:val="both"/>
        <w:rPr>
          <w:rFonts w:ascii="Avenir" w:eastAsia="Avenir" w:hAnsi="Avenir" w:cs="Avenir"/>
          <w:lang w:val="en-GB"/>
        </w:rPr>
      </w:pPr>
    </w:p>
    <w:p w14:paraId="69C738FA" w14:textId="4184B73A" w:rsidR="00B556DE" w:rsidRPr="00171C2D" w:rsidRDefault="000D6BB0">
      <w:pPr>
        <w:jc w:val="both"/>
        <w:rPr>
          <w:rFonts w:ascii="Avenir" w:eastAsia="Avenir" w:hAnsi="Avenir" w:cs="Avenir"/>
          <w:lang w:val="en-GB"/>
        </w:rPr>
      </w:pPr>
      <w:r w:rsidRPr="00171C2D">
        <w:rPr>
          <w:rFonts w:ascii="Avenir" w:eastAsia="Avenir" w:hAnsi="Avenir" w:cs="Avenir"/>
          <w:lang w:val="en-GB"/>
        </w:rPr>
        <w:t>For these reasons, there have been calls to revisit the spending categories, to provide more precise and informative headings</w:t>
      </w:r>
      <w:r w:rsidR="00B57D0D" w:rsidRPr="00171C2D">
        <w:rPr>
          <w:rFonts w:ascii="Avenir" w:eastAsia="Avenir" w:hAnsi="Avenir" w:cs="Avenir"/>
          <w:lang w:val="en-GB"/>
        </w:rPr>
        <w:t xml:space="preserve"> (Dommett and Power, 2019)</w:t>
      </w:r>
      <w:r w:rsidRPr="00171C2D">
        <w:rPr>
          <w:rFonts w:ascii="Avenir" w:eastAsia="Avenir" w:hAnsi="Avenir" w:cs="Avenir"/>
          <w:lang w:val="en-GB"/>
        </w:rPr>
        <w:t xml:space="preserve">. At present the Electoral Commission is itself conducting a review on this topic </w:t>
      </w:r>
      <w:proofErr w:type="gramStart"/>
      <w:r w:rsidRPr="00171C2D">
        <w:rPr>
          <w:rFonts w:ascii="Avenir" w:eastAsia="Avenir" w:hAnsi="Avenir" w:cs="Avenir"/>
          <w:lang w:val="en-GB"/>
        </w:rPr>
        <w:t>in an attempt to</w:t>
      </w:r>
      <w:proofErr w:type="gramEnd"/>
      <w:r w:rsidRPr="00171C2D">
        <w:rPr>
          <w:rFonts w:ascii="Avenir" w:eastAsia="Avenir" w:hAnsi="Avenir" w:cs="Avenir"/>
          <w:lang w:val="en-GB"/>
        </w:rPr>
        <w:t xml:space="preserve"> allow for a more granular analysis of spending patterns. To date, however, changes have not been made. </w:t>
      </w:r>
    </w:p>
    <w:p w14:paraId="1AE1B0AE" w14:textId="77777777" w:rsidR="00B556DE" w:rsidRPr="00171C2D" w:rsidRDefault="00B556DE">
      <w:pPr>
        <w:jc w:val="both"/>
        <w:rPr>
          <w:rFonts w:ascii="Avenir" w:eastAsia="Avenir" w:hAnsi="Avenir" w:cs="Avenir"/>
          <w:lang w:val="en-GB"/>
        </w:rPr>
      </w:pPr>
    </w:p>
    <w:p w14:paraId="5F43BF3A" w14:textId="40A2E742" w:rsidR="00B556DE" w:rsidRPr="00171C2D" w:rsidRDefault="000D6BB0">
      <w:pPr>
        <w:jc w:val="both"/>
        <w:rPr>
          <w:rFonts w:ascii="Avenir" w:eastAsia="Avenir" w:hAnsi="Avenir" w:cs="Avenir"/>
          <w:lang w:val="en-GB"/>
        </w:rPr>
      </w:pPr>
      <w:r w:rsidRPr="00171C2D">
        <w:rPr>
          <w:rFonts w:ascii="Avenir" w:eastAsia="Avenir" w:hAnsi="Avenir" w:cs="Avenir"/>
          <w:lang w:val="en-GB"/>
        </w:rPr>
        <w:lastRenderedPageBreak/>
        <w:t xml:space="preserve">In seeking to gain a more detailed picture of what exactly different suppliers were doing for parties, the research team classified the activity recorded within each invoice. This involved describing the activity the team thought the invoice listed, </w:t>
      </w:r>
      <w:r w:rsidR="00D75499" w:rsidRPr="00171C2D">
        <w:rPr>
          <w:rFonts w:ascii="Avenir" w:eastAsia="Avenir" w:hAnsi="Avenir" w:cs="Avenir"/>
          <w:lang w:val="en-GB"/>
        </w:rPr>
        <w:t>comparing,</w:t>
      </w:r>
      <w:r w:rsidRPr="00171C2D">
        <w:rPr>
          <w:rFonts w:ascii="Avenir" w:eastAsia="Avenir" w:hAnsi="Avenir" w:cs="Avenir"/>
          <w:lang w:val="en-GB"/>
        </w:rPr>
        <w:t xml:space="preserve"> and contrasting the descriptions produced by different coders, and refining and applying a list of new headings that captured all the types of activity observed. This allowed the team to build up a more detailed picture of what suppliers were doing, but also to assess the extent to which the Electoral Commission’s categories were capturing suppliers’ activities. This section of the report outlines these categories in greater detail, before analysing the distribution of suppliers’ activities across these categories in terms of frequency and spend. </w:t>
      </w:r>
    </w:p>
    <w:p w14:paraId="788A1498" w14:textId="77777777" w:rsidR="00B556DE" w:rsidRPr="00171C2D" w:rsidRDefault="000D6BB0">
      <w:pPr>
        <w:pStyle w:val="Heading3"/>
        <w:numPr>
          <w:ilvl w:val="1"/>
          <w:numId w:val="59"/>
        </w:numPr>
        <w:rPr>
          <w:color w:val="auto"/>
          <w:lang w:val="en-GB"/>
        </w:rPr>
      </w:pPr>
      <w:r w:rsidRPr="00171C2D">
        <w:rPr>
          <w:color w:val="auto"/>
          <w:lang w:val="en-GB"/>
        </w:rPr>
        <w:t>Introducing the new categories</w:t>
      </w:r>
    </w:p>
    <w:p w14:paraId="64450427" w14:textId="77777777"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As detailed in the Appendix on Methodology, the research team developed nine overarching categories that capture the range of activity found within invoices. These categories are: </w:t>
      </w:r>
    </w:p>
    <w:p w14:paraId="46BD2C9A" w14:textId="77777777" w:rsidR="00B556DE" w:rsidRPr="00171C2D" w:rsidRDefault="00B556DE">
      <w:pPr>
        <w:jc w:val="both"/>
        <w:rPr>
          <w:rFonts w:ascii="Avenir" w:eastAsia="Avenir" w:hAnsi="Avenir" w:cs="Avenir"/>
          <w:lang w:val="en-GB"/>
        </w:rPr>
      </w:pPr>
    </w:p>
    <w:p w14:paraId="6264E104" w14:textId="77777777" w:rsidR="00B556DE" w:rsidRPr="00171C2D" w:rsidRDefault="000D6BB0">
      <w:pPr>
        <w:pStyle w:val="ListParagraph"/>
        <w:numPr>
          <w:ilvl w:val="0"/>
          <w:numId w:val="56"/>
        </w:numPr>
        <w:jc w:val="both"/>
        <w:rPr>
          <w:rFonts w:ascii="Avenir" w:eastAsia="Avenir" w:hAnsi="Avenir" w:cs="Avenir"/>
          <w:lang w:val="en-GB"/>
        </w:rPr>
      </w:pPr>
      <w:r w:rsidRPr="00171C2D">
        <w:rPr>
          <w:rFonts w:ascii="Avenir" w:eastAsia="Avenir" w:hAnsi="Avenir" w:cs="Avenir"/>
          <w:lang w:val="en-GB"/>
        </w:rPr>
        <w:t xml:space="preserve">advertising and </w:t>
      </w:r>
      <w:proofErr w:type="gramStart"/>
      <w:r w:rsidRPr="00171C2D">
        <w:rPr>
          <w:rFonts w:ascii="Avenir" w:eastAsia="Avenir" w:hAnsi="Avenir" w:cs="Avenir"/>
          <w:lang w:val="en-GB"/>
        </w:rPr>
        <w:t>press;</w:t>
      </w:r>
      <w:proofErr w:type="gramEnd"/>
    </w:p>
    <w:p w14:paraId="531944D2" w14:textId="77777777" w:rsidR="00B556DE" w:rsidRPr="00171C2D" w:rsidRDefault="000D6BB0">
      <w:pPr>
        <w:pStyle w:val="ListParagraph"/>
        <w:numPr>
          <w:ilvl w:val="0"/>
          <w:numId w:val="56"/>
        </w:numPr>
        <w:jc w:val="both"/>
        <w:rPr>
          <w:rFonts w:ascii="Avenir" w:eastAsia="Avenir" w:hAnsi="Avenir" w:cs="Avenir"/>
          <w:lang w:val="en-GB"/>
        </w:rPr>
      </w:pPr>
      <w:r w:rsidRPr="00171C2D">
        <w:rPr>
          <w:rFonts w:ascii="Avenir" w:eastAsia="Avenir" w:hAnsi="Avenir" w:cs="Avenir"/>
          <w:lang w:val="en-GB"/>
        </w:rPr>
        <w:t xml:space="preserve">campaign </w:t>
      </w:r>
      <w:proofErr w:type="gramStart"/>
      <w:r w:rsidRPr="00171C2D">
        <w:rPr>
          <w:rFonts w:ascii="Avenir" w:eastAsia="Avenir" w:hAnsi="Avenir" w:cs="Avenir"/>
          <w:lang w:val="en-GB"/>
        </w:rPr>
        <w:t>materials;</w:t>
      </w:r>
      <w:proofErr w:type="gramEnd"/>
    </w:p>
    <w:p w14:paraId="0B721B7C" w14:textId="77777777" w:rsidR="00B556DE" w:rsidRPr="00171C2D" w:rsidRDefault="000D6BB0">
      <w:pPr>
        <w:pStyle w:val="ListParagraph"/>
        <w:numPr>
          <w:ilvl w:val="0"/>
          <w:numId w:val="56"/>
        </w:numPr>
        <w:jc w:val="both"/>
        <w:rPr>
          <w:rFonts w:ascii="Avenir" w:eastAsia="Avenir" w:hAnsi="Avenir" w:cs="Avenir"/>
          <w:lang w:val="en-GB"/>
        </w:rPr>
      </w:pPr>
      <w:r w:rsidRPr="00171C2D">
        <w:rPr>
          <w:rFonts w:ascii="Avenir" w:eastAsia="Avenir" w:hAnsi="Avenir" w:cs="Avenir"/>
          <w:lang w:val="en-GB"/>
        </w:rPr>
        <w:t xml:space="preserve">campaign </w:t>
      </w:r>
      <w:proofErr w:type="gramStart"/>
      <w:r w:rsidRPr="00171C2D">
        <w:rPr>
          <w:rFonts w:ascii="Avenir" w:eastAsia="Avenir" w:hAnsi="Avenir" w:cs="Avenir"/>
          <w:lang w:val="en-GB"/>
        </w:rPr>
        <w:t>activity;</w:t>
      </w:r>
      <w:proofErr w:type="gramEnd"/>
    </w:p>
    <w:p w14:paraId="33952CCE" w14:textId="77777777" w:rsidR="00B556DE" w:rsidRPr="00171C2D" w:rsidRDefault="000D6BB0">
      <w:pPr>
        <w:pStyle w:val="ListParagraph"/>
        <w:numPr>
          <w:ilvl w:val="0"/>
          <w:numId w:val="56"/>
        </w:numPr>
        <w:jc w:val="both"/>
        <w:rPr>
          <w:rFonts w:ascii="Avenir" w:eastAsia="Avenir" w:hAnsi="Avenir" w:cs="Avenir"/>
          <w:lang w:val="en-GB"/>
        </w:rPr>
      </w:pPr>
      <w:proofErr w:type="gramStart"/>
      <w:r w:rsidRPr="00171C2D">
        <w:rPr>
          <w:rFonts w:ascii="Avenir" w:eastAsia="Avenir" w:hAnsi="Avenir" w:cs="Avenir"/>
          <w:lang w:val="en-GB"/>
        </w:rPr>
        <w:t>production;</w:t>
      </w:r>
      <w:proofErr w:type="gramEnd"/>
    </w:p>
    <w:p w14:paraId="7CE49C9F" w14:textId="77777777" w:rsidR="00B556DE" w:rsidRPr="00171C2D" w:rsidRDefault="000D6BB0">
      <w:pPr>
        <w:pStyle w:val="ListParagraph"/>
        <w:numPr>
          <w:ilvl w:val="0"/>
          <w:numId w:val="56"/>
        </w:numPr>
        <w:jc w:val="both"/>
        <w:rPr>
          <w:rFonts w:ascii="Avenir" w:eastAsia="Avenir" w:hAnsi="Avenir" w:cs="Avenir"/>
          <w:lang w:val="en-GB"/>
        </w:rPr>
      </w:pPr>
      <w:proofErr w:type="gramStart"/>
      <w:r w:rsidRPr="00171C2D">
        <w:rPr>
          <w:rFonts w:ascii="Avenir" w:eastAsia="Avenir" w:hAnsi="Avenir" w:cs="Avenir"/>
          <w:lang w:val="en-GB"/>
        </w:rPr>
        <w:t>research;</w:t>
      </w:r>
      <w:proofErr w:type="gramEnd"/>
    </w:p>
    <w:p w14:paraId="69596C08" w14:textId="77777777" w:rsidR="00B556DE" w:rsidRPr="00171C2D" w:rsidRDefault="000D6BB0">
      <w:pPr>
        <w:pStyle w:val="ListParagraph"/>
        <w:numPr>
          <w:ilvl w:val="0"/>
          <w:numId w:val="56"/>
        </w:numPr>
        <w:jc w:val="both"/>
        <w:rPr>
          <w:rFonts w:ascii="Avenir" w:eastAsia="Avenir" w:hAnsi="Avenir" w:cs="Avenir"/>
          <w:lang w:val="en-GB"/>
        </w:rPr>
      </w:pPr>
      <w:r w:rsidRPr="00171C2D">
        <w:rPr>
          <w:rFonts w:ascii="Avenir" w:eastAsia="Avenir" w:hAnsi="Avenir" w:cs="Avenir"/>
          <w:lang w:val="en-GB"/>
        </w:rPr>
        <w:t xml:space="preserve">data and </w:t>
      </w:r>
      <w:proofErr w:type="gramStart"/>
      <w:r w:rsidRPr="00171C2D">
        <w:rPr>
          <w:rFonts w:ascii="Avenir" w:eastAsia="Avenir" w:hAnsi="Avenir" w:cs="Avenir"/>
          <w:lang w:val="en-GB"/>
        </w:rPr>
        <w:t>infrastructure;</w:t>
      </w:r>
      <w:proofErr w:type="gramEnd"/>
    </w:p>
    <w:p w14:paraId="26925AE1" w14:textId="77777777" w:rsidR="00B556DE" w:rsidRPr="00171C2D" w:rsidRDefault="000D6BB0">
      <w:pPr>
        <w:pStyle w:val="ListParagraph"/>
        <w:numPr>
          <w:ilvl w:val="0"/>
          <w:numId w:val="56"/>
        </w:numPr>
        <w:jc w:val="both"/>
        <w:rPr>
          <w:rFonts w:ascii="Avenir" w:eastAsia="Avenir" w:hAnsi="Avenir" w:cs="Avenir"/>
          <w:lang w:val="en-GB"/>
        </w:rPr>
      </w:pPr>
      <w:proofErr w:type="gramStart"/>
      <w:r w:rsidRPr="00171C2D">
        <w:rPr>
          <w:rFonts w:ascii="Avenir" w:eastAsia="Avenir" w:hAnsi="Avenir" w:cs="Avenir"/>
          <w:lang w:val="en-GB"/>
        </w:rPr>
        <w:t>consultancy;</w:t>
      </w:r>
      <w:proofErr w:type="gramEnd"/>
    </w:p>
    <w:p w14:paraId="57B539C3" w14:textId="77777777" w:rsidR="00B556DE" w:rsidRPr="00171C2D" w:rsidRDefault="000D6BB0">
      <w:pPr>
        <w:pStyle w:val="ListParagraph"/>
        <w:numPr>
          <w:ilvl w:val="0"/>
          <w:numId w:val="56"/>
        </w:numPr>
        <w:jc w:val="both"/>
        <w:rPr>
          <w:rFonts w:ascii="Avenir" w:eastAsia="Avenir" w:hAnsi="Avenir" w:cs="Avenir"/>
          <w:lang w:val="en-GB"/>
        </w:rPr>
      </w:pPr>
      <w:r w:rsidRPr="00171C2D">
        <w:rPr>
          <w:rFonts w:ascii="Avenir" w:eastAsia="Avenir" w:hAnsi="Avenir" w:cs="Avenir"/>
          <w:lang w:val="en-GB"/>
        </w:rPr>
        <w:t xml:space="preserve">miscellaneous; and </w:t>
      </w:r>
    </w:p>
    <w:p w14:paraId="5E75C761" w14:textId="77777777" w:rsidR="00B556DE" w:rsidRPr="00171C2D" w:rsidRDefault="000D6BB0">
      <w:pPr>
        <w:pStyle w:val="ListParagraph"/>
        <w:numPr>
          <w:ilvl w:val="0"/>
          <w:numId w:val="56"/>
        </w:numPr>
        <w:jc w:val="both"/>
        <w:rPr>
          <w:rFonts w:ascii="Avenir" w:eastAsia="Avenir" w:hAnsi="Avenir" w:cs="Avenir"/>
          <w:lang w:val="en-GB"/>
        </w:rPr>
      </w:pPr>
      <w:r w:rsidRPr="00171C2D">
        <w:rPr>
          <w:rFonts w:ascii="Avenir" w:eastAsia="Avenir" w:hAnsi="Avenir" w:cs="Avenir"/>
          <w:lang w:val="en-GB"/>
        </w:rPr>
        <w:t xml:space="preserve">completely unclear. </w:t>
      </w:r>
      <w:bookmarkStart w:id="8" w:name="_Hlk98157654"/>
      <w:bookmarkEnd w:id="8"/>
    </w:p>
    <w:p w14:paraId="676EB066" w14:textId="77777777" w:rsidR="00B556DE" w:rsidRPr="00171C2D" w:rsidRDefault="00B556DE">
      <w:pPr>
        <w:jc w:val="both"/>
        <w:rPr>
          <w:rFonts w:ascii="Avenir" w:eastAsia="Avenir" w:hAnsi="Avenir" w:cs="Avenir"/>
          <w:lang w:val="en-GB"/>
        </w:rPr>
      </w:pPr>
    </w:p>
    <w:p w14:paraId="1C7222EE" w14:textId="77777777"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Each category contains constituent subcategories, described throughout this section, which give more detail about the </w:t>
      </w:r>
      <w:proofErr w:type="gramStart"/>
      <w:r w:rsidRPr="00171C2D">
        <w:rPr>
          <w:rFonts w:ascii="Avenir" w:eastAsia="Avenir" w:hAnsi="Avenir" w:cs="Avenir"/>
          <w:lang w:val="en-GB"/>
        </w:rPr>
        <w:t>particular kind</w:t>
      </w:r>
      <w:proofErr w:type="gramEnd"/>
      <w:r w:rsidRPr="00171C2D">
        <w:rPr>
          <w:rFonts w:ascii="Avenir" w:eastAsia="Avenir" w:hAnsi="Avenir" w:cs="Avenir"/>
          <w:lang w:val="en-GB"/>
        </w:rPr>
        <w:t xml:space="preserve"> of activity taking place. Where an activity either straddles a number of these subcategories or was so broad as to not fall into a subcategory, the research team coded it under the general overarching category heading (for more detail on this process see the Appendix on Methodology).</w:t>
      </w:r>
    </w:p>
    <w:p w14:paraId="61B2D130" w14:textId="77777777" w:rsidR="00B556DE" w:rsidRPr="00171C2D" w:rsidRDefault="00B556DE">
      <w:pPr>
        <w:jc w:val="both"/>
        <w:rPr>
          <w:rFonts w:ascii="Avenir" w:eastAsia="Avenir" w:hAnsi="Avenir" w:cs="Avenir"/>
          <w:lang w:val="en-GB"/>
        </w:rPr>
      </w:pPr>
    </w:p>
    <w:p w14:paraId="240FF847" w14:textId="77777777" w:rsidR="00B556DE" w:rsidRPr="00171C2D" w:rsidRDefault="000D6BB0">
      <w:pPr>
        <w:jc w:val="both"/>
        <w:rPr>
          <w:rFonts w:ascii="Avenir" w:eastAsia="Avenir" w:hAnsi="Avenir" w:cs="Avenir"/>
          <w:b/>
          <w:bCs/>
          <w:iCs/>
          <w:lang w:val="en-GB"/>
        </w:rPr>
      </w:pPr>
      <w:r w:rsidRPr="00171C2D">
        <w:rPr>
          <w:rFonts w:ascii="Avenir" w:eastAsia="Avenir" w:hAnsi="Avenir" w:cs="Avenir"/>
          <w:b/>
          <w:bCs/>
          <w:iCs/>
          <w:lang w:val="en-GB"/>
        </w:rPr>
        <w:t>Figure 6: The distribution of spend across the new categories, UK General Election 2019</w:t>
      </w:r>
    </w:p>
    <w:p w14:paraId="13B48D78" w14:textId="333936C6" w:rsidR="00B556DE" w:rsidRDefault="000D6BB0">
      <w:pPr>
        <w:jc w:val="both"/>
        <w:rPr>
          <w:rFonts w:ascii="Avenir" w:eastAsia="Avenir" w:hAnsi="Avenir" w:cs="Avenir"/>
          <w:lang w:val="en-GB"/>
        </w:rPr>
      </w:pPr>
      <w:r w:rsidRPr="00171C2D">
        <w:rPr>
          <w:noProof/>
        </w:rPr>
        <w:lastRenderedPageBreak/>
        <w:drawing>
          <wp:inline distT="0" distB="0" distL="0" distR="0" wp14:anchorId="23FC33CE" wp14:editId="39CC0705">
            <wp:extent cx="5021448" cy="3208147"/>
            <wp:effectExtent l="0" t="0" r="8255" b="0"/>
            <wp:docPr id="6"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a:picLocks noChangeAspect="1" noChangeArrowheads="1"/>
                    </pic:cNvPicPr>
                  </pic:nvPicPr>
                  <pic:blipFill>
                    <a:blip r:embed="rId23"/>
                    <a:stretch>
                      <a:fillRect/>
                    </a:stretch>
                  </pic:blipFill>
                  <pic:spPr bwMode="auto">
                    <a:xfrm>
                      <a:off x="0" y="0"/>
                      <a:ext cx="5029671" cy="3213400"/>
                    </a:xfrm>
                    <a:prstGeom prst="rect">
                      <a:avLst/>
                    </a:prstGeom>
                  </pic:spPr>
                </pic:pic>
              </a:graphicData>
            </a:graphic>
          </wp:inline>
        </w:drawing>
      </w:r>
    </w:p>
    <w:p w14:paraId="34F71529" w14:textId="04BF53DC" w:rsidR="004E2707" w:rsidRPr="00171C2D" w:rsidRDefault="004E2707" w:rsidP="00771EAF">
      <w:pPr>
        <w:rPr>
          <w:rFonts w:ascii="Avenir" w:eastAsia="Avenir" w:hAnsi="Avenir" w:cs="Avenir"/>
          <w:lang w:val="en-GB"/>
        </w:rPr>
      </w:pPr>
      <w:r w:rsidRPr="004E2707">
        <w:rPr>
          <w:rFonts w:ascii="Avenir" w:eastAsia="Avenir" w:hAnsi="Avenir" w:cs="Avenir"/>
          <w:i/>
          <w:iCs/>
          <w:lang w:val="en-GB"/>
        </w:rPr>
        <w:t>Source</w:t>
      </w:r>
      <w:r>
        <w:rPr>
          <w:rFonts w:ascii="Avenir" w:eastAsia="Avenir" w:hAnsi="Avenir" w:cs="Avenir"/>
          <w:lang w:val="en-GB"/>
        </w:rPr>
        <w:t xml:space="preserve">: </w:t>
      </w:r>
      <w:r w:rsidR="00CD2046">
        <w:rPr>
          <w:rFonts w:ascii="Avenir" w:eastAsia="Avenir" w:hAnsi="Avenir" w:cs="Avenir"/>
          <w:lang w:val="en-GB"/>
        </w:rPr>
        <w:t>Authors´ analysis of invoices returned to the Electoral Commission for the 2019 General Election.</w:t>
      </w:r>
    </w:p>
    <w:p w14:paraId="7AF98CFC" w14:textId="77777777" w:rsidR="00B556DE" w:rsidRPr="00171C2D" w:rsidRDefault="000D6BB0">
      <w:pPr>
        <w:pStyle w:val="Heading3"/>
        <w:numPr>
          <w:ilvl w:val="1"/>
          <w:numId w:val="59"/>
        </w:numPr>
        <w:rPr>
          <w:color w:val="auto"/>
          <w:lang w:val="en-GB"/>
        </w:rPr>
      </w:pPr>
      <w:r w:rsidRPr="00171C2D">
        <w:rPr>
          <w:color w:val="auto"/>
          <w:lang w:val="en-GB"/>
        </w:rPr>
        <w:t>What do these new categories reveal?</w:t>
      </w:r>
    </w:p>
    <w:p w14:paraId="52A291A9" w14:textId="79CFFBB6"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Below, </w:t>
      </w:r>
      <w:r w:rsidR="00B57D0D" w:rsidRPr="00171C2D">
        <w:rPr>
          <w:rFonts w:ascii="Avenir" w:eastAsia="Avenir" w:hAnsi="Avenir" w:cs="Avenir"/>
          <w:lang w:val="en-GB"/>
        </w:rPr>
        <w:t>we consider</w:t>
      </w:r>
      <w:r w:rsidRPr="00171C2D">
        <w:rPr>
          <w:rFonts w:ascii="Avenir" w:eastAsia="Avenir" w:hAnsi="Avenir" w:cs="Avenir"/>
          <w:lang w:val="en-GB"/>
        </w:rPr>
        <w:t xml:space="preserve"> what the new categories reveal about campaign practices, and how </w:t>
      </w:r>
      <w:r w:rsidR="007711B1" w:rsidRPr="00171C2D">
        <w:rPr>
          <w:rFonts w:ascii="Avenir" w:eastAsia="Avenir" w:hAnsi="Avenir" w:cs="Avenir"/>
          <w:lang w:val="en-GB"/>
        </w:rPr>
        <w:t>they compare</w:t>
      </w:r>
      <w:r w:rsidRPr="00171C2D">
        <w:rPr>
          <w:rFonts w:ascii="Avenir" w:eastAsia="Avenir" w:hAnsi="Avenir" w:cs="Avenir"/>
          <w:lang w:val="en-GB"/>
        </w:rPr>
        <w:t xml:space="preserve"> with </w:t>
      </w:r>
      <w:r w:rsidR="004C32D2" w:rsidRPr="00171C2D">
        <w:rPr>
          <w:rFonts w:ascii="Avenir" w:eastAsia="Avenir" w:hAnsi="Avenir" w:cs="Avenir"/>
          <w:lang w:val="en-GB"/>
        </w:rPr>
        <w:t>those which campaigners</w:t>
      </w:r>
      <w:r w:rsidRPr="00171C2D">
        <w:rPr>
          <w:rFonts w:ascii="Avenir" w:eastAsia="Avenir" w:hAnsi="Avenir" w:cs="Avenir"/>
          <w:lang w:val="en-GB"/>
        </w:rPr>
        <w:t xml:space="preserve"> assign under the Electoral Commission’s groupings. Taking each of the new category headings in turn, this report provides a brief overview of the findings and reflects on what additional information this reveals about the utility of existing spending categories, inferring what can be learnt in terms of understanding the role of suppliers in elections across the world. </w:t>
      </w:r>
    </w:p>
    <w:p w14:paraId="41BAF2CF" w14:textId="77777777" w:rsidR="00B556DE" w:rsidRPr="00171C2D" w:rsidRDefault="00B556DE">
      <w:pPr>
        <w:jc w:val="both"/>
        <w:rPr>
          <w:rFonts w:ascii="Avenir" w:eastAsia="Avenir" w:hAnsi="Avenir" w:cs="Avenir"/>
          <w:lang w:val="en-GB"/>
        </w:rPr>
      </w:pPr>
    </w:p>
    <w:p w14:paraId="3C01D70D" w14:textId="77777777"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To begin, it is useful to look at Figure 6, which details the distribution of spend across the new headline categories (the subcategories are discussed further below). This reveals that suppliers primarily worked on campaign materials or advertising. Significantly less was spent on activities categorized as research, data and infrastructure, </w:t>
      </w:r>
      <w:proofErr w:type="gramStart"/>
      <w:r w:rsidRPr="00171C2D">
        <w:rPr>
          <w:rFonts w:ascii="Avenir" w:eastAsia="Avenir" w:hAnsi="Avenir" w:cs="Avenir"/>
          <w:lang w:val="en-GB"/>
        </w:rPr>
        <w:t>consultancy</w:t>
      </w:r>
      <w:proofErr w:type="gramEnd"/>
      <w:r w:rsidRPr="00171C2D">
        <w:rPr>
          <w:rFonts w:ascii="Avenir" w:eastAsia="Avenir" w:hAnsi="Avenir" w:cs="Avenir"/>
          <w:lang w:val="en-GB"/>
        </w:rPr>
        <w:t xml:space="preserve"> or production. The difference between the largest and smallest of the new categories—campaign material and campaign activity—suggests that, while parties expend significant resources in communicating with voters via different media, they spend hardly anything on campaign activity via external suppliers. This could suggest that parties no longer engage in certain campaign activities, or that parties do not </w:t>
      </w:r>
      <w:r w:rsidRPr="00171C2D">
        <w:rPr>
          <w:rFonts w:ascii="Avenir" w:eastAsia="Avenir" w:hAnsi="Avenir" w:cs="Avenir"/>
          <w:i/>
          <w:lang w:val="en-GB"/>
        </w:rPr>
        <w:t xml:space="preserve">spend </w:t>
      </w:r>
      <w:r w:rsidRPr="00171C2D">
        <w:rPr>
          <w:rFonts w:ascii="Avenir" w:eastAsia="Avenir" w:hAnsi="Avenir" w:cs="Avenir"/>
          <w:lang w:val="en-GB"/>
        </w:rPr>
        <w:t>significant amounts on this activity. This second theory is supported by prior research that highlights parties’ reliance on voluntary labour for activities such as canvassing (</w:t>
      </w:r>
      <w:r w:rsidRPr="00171C2D">
        <w:rPr>
          <w:rFonts w:ascii="Avenir" w:eastAsia="Avenir" w:hAnsi="Avenir" w:cs="Avenir"/>
          <w:highlight w:val="white"/>
          <w:lang w:val="en-GB"/>
        </w:rPr>
        <w:t>Bale et al. 2020</w:t>
      </w:r>
      <w:r w:rsidRPr="00171C2D">
        <w:rPr>
          <w:rFonts w:ascii="Avenir" w:eastAsia="Avenir" w:hAnsi="Avenir" w:cs="Avenir"/>
          <w:lang w:val="en-GB"/>
        </w:rPr>
        <w:t>), but it is a question that this report unpicks further below.</w:t>
      </w:r>
    </w:p>
    <w:p w14:paraId="2DA3DE1F" w14:textId="77777777" w:rsidR="00B556DE" w:rsidRPr="00171C2D" w:rsidRDefault="00B556DE">
      <w:pPr>
        <w:jc w:val="both"/>
        <w:rPr>
          <w:rFonts w:ascii="Avenir" w:eastAsia="Avenir" w:hAnsi="Avenir" w:cs="Avenir"/>
          <w:lang w:val="en-GB"/>
        </w:rPr>
      </w:pPr>
    </w:p>
    <w:p w14:paraId="7B428EB6" w14:textId="3BFE7ADC" w:rsidR="00B556DE" w:rsidRPr="00171C2D" w:rsidRDefault="004C32D2">
      <w:pPr>
        <w:jc w:val="both"/>
        <w:rPr>
          <w:rFonts w:ascii="Avenir" w:eastAsia="Avenir" w:hAnsi="Avenir" w:cs="Avenir"/>
          <w:lang w:val="en-GB"/>
        </w:rPr>
      </w:pPr>
      <w:r w:rsidRPr="00171C2D">
        <w:rPr>
          <w:rFonts w:ascii="Avenir" w:eastAsia="Avenir" w:hAnsi="Avenir" w:cs="Avenir"/>
          <w:lang w:val="en-GB"/>
        </w:rPr>
        <w:t>Exploring</w:t>
      </w:r>
      <w:r w:rsidR="000D6BB0" w:rsidRPr="00171C2D">
        <w:rPr>
          <w:rFonts w:ascii="Avenir" w:eastAsia="Avenir" w:hAnsi="Avenir" w:cs="Avenir"/>
          <w:lang w:val="en-GB"/>
        </w:rPr>
        <w:t xml:space="preserve"> the data in more detail, this report looks at each category in turn. </w:t>
      </w:r>
    </w:p>
    <w:p w14:paraId="4369C7DE" w14:textId="77777777" w:rsidR="00B556DE" w:rsidRPr="00171C2D" w:rsidRDefault="000D6BB0">
      <w:pPr>
        <w:pStyle w:val="Heading4"/>
        <w:rPr>
          <w:color w:val="auto"/>
          <w:lang w:val="en-GB"/>
        </w:rPr>
      </w:pPr>
      <w:r w:rsidRPr="00171C2D">
        <w:rPr>
          <w:color w:val="auto"/>
          <w:lang w:val="en-GB"/>
        </w:rPr>
        <w:lastRenderedPageBreak/>
        <w:t>Advertising and press</w:t>
      </w:r>
    </w:p>
    <w:p w14:paraId="4C2561D8" w14:textId="159B2275"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A total of </w:t>
      </w:r>
      <w:r w:rsidR="009014F3">
        <w:rPr>
          <w:rFonts w:ascii="Avenir" w:eastAsia="Avenir" w:hAnsi="Avenir" w:cs="Avenir"/>
          <w:lang w:val="en-GB"/>
        </w:rPr>
        <w:t>GBP </w:t>
      </w:r>
      <w:r w:rsidRPr="00171C2D">
        <w:rPr>
          <w:rFonts w:ascii="Avenir" w:eastAsia="Avenir" w:hAnsi="Avenir" w:cs="Avenir"/>
          <w:lang w:val="en-GB"/>
        </w:rPr>
        <w:t xml:space="preserve">10,440,145 of spending was categorized under the new category heading of ‘advertising and press’. This differs from the Electoral Commission’s collective spend under two categories of ‘advertising’ and ‘media’ of </w:t>
      </w:r>
      <w:r w:rsidR="009014F3">
        <w:rPr>
          <w:rFonts w:ascii="Avenir" w:eastAsia="Avenir" w:hAnsi="Avenir" w:cs="Avenir"/>
          <w:lang w:val="en-GB"/>
        </w:rPr>
        <w:t>GBP </w:t>
      </w:r>
      <w:r w:rsidRPr="00171C2D">
        <w:rPr>
          <w:rFonts w:ascii="Avenir" w:eastAsia="Avenir" w:hAnsi="Avenir" w:cs="Avenir"/>
          <w:lang w:val="en-GB"/>
        </w:rPr>
        <w:t xml:space="preserve">14,995,916 and means that approximately </w:t>
      </w:r>
      <w:r w:rsidR="009014F3">
        <w:rPr>
          <w:rFonts w:ascii="Avenir" w:eastAsia="Avenir" w:hAnsi="Avenir" w:cs="Avenir"/>
          <w:lang w:val="en-GB"/>
        </w:rPr>
        <w:t>GBP </w:t>
      </w:r>
      <w:r w:rsidRPr="00171C2D">
        <w:rPr>
          <w:rFonts w:ascii="Avenir" w:eastAsia="Avenir" w:hAnsi="Avenir" w:cs="Avenir"/>
          <w:lang w:val="en-GB"/>
        </w:rPr>
        <w:t xml:space="preserve">4.5 million of expenditure currently declared to the Commission as advertising is better understood under a different category. </w:t>
      </w:r>
    </w:p>
    <w:p w14:paraId="51277F46" w14:textId="77777777" w:rsidR="00B556DE" w:rsidRPr="00171C2D" w:rsidRDefault="00B556DE">
      <w:pPr>
        <w:jc w:val="both"/>
        <w:rPr>
          <w:rFonts w:ascii="Avenir" w:eastAsia="Avenir" w:hAnsi="Avenir" w:cs="Avenir"/>
          <w:lang w:val="en-GB"/>
        </w:rPr>
      </w:pPr>
    </w:p>
    <w:p w14:paraId="734A782B" w14:textId="66275A39"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To generate more understanding of the different types of advertising that suppliers are delivering for parties, the research team identified six subcategories that can usefully be used by scholars in the UK and elsewhere (see Table 5). </w:t>
      </w:r>
    </w:p>
    <w:p w14:paraId="0AF0FE5D" w14:textId="77777777" w:rsidR="00B556DE" w:rsidRPr="00171C2D" w:rsidRDefault="00B556DE">
      <w:pPr>
        <w:jc w:val="both"/>
        <w:rPr>
          <w:rFonts w:ascii="Avenir" w:eastAsia="Avenir" w:hAnsi="Avenir" w:cs="Avenir"/>
          <w:lang w:val="en-GB"/>
        </w:rPr>
      </w:pPr>
    </w:p>
    <w:p w14:paraId="5A5AE942" w14:textId="0EBD3B0A" w:rsidR="00B556DE" w:rsidRPr="00171C2D" w:rsidRDefault="000D6BB0">
      <w:pPr>
        <w:jc w:val="both"/>
        <w:rPr>
          <w:rFonts w:ascii="Avenir" w:eastAsia="Avenir" w:hAnsi="Avenir" w:cs="Avenir"/>
          <w:b/>
          <w:bCs/>
          <w:iCs/>
          <w:lang w:val="en-GB"/>
        </w:rPr>
      </w:pPr>
      <w:r w:rsidRPr="00171C2D">
        <w:rPr>
          <w:rFonts w:ascii="Avenir" w:eastAsia="Avenir" w:hAnsi="Avenir" w:cs="Avenir"/>
          <w:b/>
          <w:bCs/>
          <w:iCs/>
          <w:lang w:val="en-GB"/>
        </w:rPr>
        <w:t>Table 5: Subcategories for the ‘advertising and press’ category, UK General Election 2019</w:t>
      </w:r>
    </w:p>
    <w:tbl>
      <w:tblPr>
        <w:tblW w:w="9165" w:type="dxa"/>
        <w:tblCellMar>
          <w:top w:w="100" w:type="dxa"/>
          <w:left w:w="100" w:type="dxa"/>
          <w:bottom w:w="100" w:type="dxa"/>
          <w:right w:w="100" w:type="dxa"/>
        </w:tblCellMar>
        <w:tblLook w:val="0600" w:firstRow="0" w:lastRow="0" w:firstColumn="0" w:lastColumn="0" w:noHBand="1" w:noVBand="1"/>
      </w:tblPr>
      <w:tblGrid>
        <w:gridCol w:w="1987"/>
        <w:gridCol w:w="5511"/>
        <w:gridCol w:w="1667"/>
      </w:tblGrid>
      <w:tr w:rsidR="00171C2D" w:rsidRPr="00171C2D" w14:paraId="43A385EC" w14:textId="77777777" w:rsidTr="002B42EC">
        <w:tc>
          <w:tcPr>
            <w:tcW w:w="1995" w:type="dxa"/>
            <w:tcBorders>
              <w:top w:val="single" w:sz="8" w:space="0" w:color="000000"/>
              <w:left w:val="single" w:sz="8" w:space="0" w:color="000000"/>
              <w:bottom w:val="single" w:sz="8" w:space="0" w:color="000000"/>
              <w:right w:val="single" w:sz="8" w:space="0" w:color="000000"/>
            </w:tcBorders>
            <w:shd w:val="clear" w:color="auto" w:fill="auto"/>
          </w:tcPr>
          <w:p w14:paraId="6CB38102" w14:textId="77777777" w:rsidR="00B556DE" w:rsidRPr="00171C2D" w:rsidRDefault="000D6BB0" w:rsidP="002B42EC">
            <w:pPr>
              <w:widowControl w:val="0"/>
              <w:spacing w:line="240" w:lineRule="auto"/>
              <w:ind w:left="31"/>
              <w:rPr>
                <w:rFonts w:ascii="Avenir" w:eastAsia="Avenir" w:hAnsi="Avenir" w:cs="Avenir"/>
                <w:b/>
                <w:bCs/>
                <w:sz w:val="20"/>
                <w:szCs w:val="20"/>
                <w:lang w:val="en-GB"/>
              </w:rPr>
            </w:pPr>
            <w:r w:rsidRPr="00171C2D">
              <w:rPr>
                <w:rFonts w:ascii="Avenir" w:eastAsia="Avenir" w:hAnsi="Avenir" w:cs="Avenir"/>
                <w:b/>
                <w:bCs/>
                <w:sz w:val="20"/>
                <w:szCs w:val="20"/>
                <w:lang w:val="en-GB"/>
              </w:rPr>
              <w:t>Advertising and press</w:t>
            </w:r>
          </w:p>
        </w:tc>
        <w:tc>
          <w:tcPr>
            <w:tcW w:w="5565" w:type="dxa"/>
            <w:tcBorders>
              <w:top w:val="single" w:sz="8" w:space="0" w:color="000000"/>
              <w:left w:val="single" w:sz="8" w:space="0" w:color="000000"/>
              <w:bottom w:val="single" w:sz="8" w:space="0" w:color="000000"/>
              <w:right w:val="single" w:sz="8" w:space="0" w:color="000000"/>
            </w:tcBorders>
            <w:shd w:val="clear" w:color="auto" w:fill="auto"/>
          </w:tcPr>
          <w:p w14:paraId="3D69297B" w14:textId="77777777" w:rsidR="00B556DE" w:rsidRPr="00171C2D" w:rsidRDefault="000D6BB0">
            <w:pPr>
              <w:widowControl w:val="0"/>
              <w:spacing w:line="240" w:lineRule="auto"/>
              <w:rPr>
                <w:rFonts w:ascii="Avenir" w:eastAsia="Avenir" w:hAnsi="Avenir" w:cs="Avenir"/>
                <w:b/>
                <w:bCs/>
                <w:sz w:val="20"/>
                <w:szCs w:val="20"/>
                <w:lang w:val="en-GB"/>
              </w:rPr>
            </w:pPr>
            <w:r w:rsidRPr="00171C2D">
              <w:rPr>
                <w:rFonts w:ascii="Avenir" w:eastAsia="Avenir" w:hAnsi="Avenir" w:cs="Avenir"/>
                <w:b/>
                <w:bCs/>
                <w:sz w:val="20"/>
                <w:szCs w:val="20"/>
                <w:lang w:val="en-GB"/>
              </w:rPr>
              <w:t>Invoices which referred to advertising activity (either in newspapers, online or elsewhere) or press services such as PR. This category has six subcategories.</w:t>
            </w:r>
          </w:p>
        </w:tc>
        <w:tc>
          <w:tcPr>
            <w:tcW w:w="1605" w:type="dxa"/>
            <w:tcBorders>
              <w:top w:val="single" w:sz="8" w:space="0" w:color="000000"/>
              <w:left w:val="single" w:sz="8" w:space="0" w:color="000000"/>
              <w:bottom w:val="single" w:sz="8" w:space="0" w:color="000000"/>
              <w:right w:val="single" w:sz="8" w:space="0" w:color="000000"/>
            </w:tcBorders>
            <w:shd w:val="clear" w:color="auto" w:fill="auto"/>
          </w:tcPr>
          <w:p w14:paraId="066921FD" w14:textId="77777777" w:rsidR="00B556DE" w:rsidRPr="00171C2D" w:rsidRDefault="000D6BB0">
            <w:pPr>
              <w:jc w:val="both"/>
              <w:rPr>
                <w:rFonts w:ascii="Avenir" w:eastAsia="Avenir" w:hAnsi="Avenir" w:cs="Avenir"/>
                <w:b/>
                <w:bCs/>
                <w:sz w:val="20"/>
                <w:szCs w:val="20"/>
                <w:lang w:val="en-GB"/>
              </w:rPr>
            </w:pPr>
            <w:proofErr w:type="gramStart"/>
            <w:r w:rsidRPr="00171C2D">
              <w:rPr>
                <w:rFonts w:ascii="Avenir" w:eastAsia="Avenir" w:hAnsi="Avenir" w:cs="Avenir"/>
                <w:b/>
                <w:bCs/>
                <w:sz w:val="20"/>
                <w:szCs w:val="20"/>
                <w:lang w:val="en-GB"/>
              </w:rPr>
              <w:t>Total</w:t>
            </w:r>
            <w:proofErr w:type="gramEnd"/>
            <w:r w:rsidRPr="00171C2D">
              <w:rPr>
                <w:rFonts w:ascii="Avenir" w:eastAsia="Avenir" w:hAnsi="Avenir" w:cs="Avenir"/>
                <w:b/>
                <w:bCs/>
                <w:sz w:val="20"/>
                <w:szCs w:val="20"/>
                <w:lang w:val="en-GB"/>
              </w:rPr>
              <w:t xml:space="preserve"> spend:</w:t>
            </w:r>
          </w:p>
          <w:p w14:paraId="0A499345" w14:textId="4E1138C7" w:rsidR="00B556DE" w:rsidRPr="00171C2D" w:rsidRDefault="009014F3">
            <w:pPr>
              <w:jc w:val="both"/>
              <w:rPr>
                <w:rFonts w:ascii="Avenir" w:eastAsia="Avenir" w:hAnsi="Avenir" w:cs="Avenir"/>
                <w:b/>
                <w:bCs/>
                <w:sz w:val="20"/>
                <w:szCs w:val="20"/>
                <w:lang w:val="en-GB"/>
              </w:rPr>
            </w:pPr>
            <w:r>
              <w:rPr>
                <w:rFonts w:ascii="Avenir" w:eastAsia="Avenir" w:hAnsi="Avenir" w:cs="Avenir"/>
                <w:b/>
                <w:bCs/>
                <w:sz w:val="20"/>
                <w:szCs w:val="20"/>
                <w:lang w:val="en-GB"/>
              </w:rPr>
              <w:t>GBP </w:t>
            </w:r>
            <w:r w:rsidR="000D6BB0" w:rsidRPr="00171C2D">
              <w:rPr>
                <w:rFonts w:ascii="Avenir" w:eastAsia="Avenir" w:hAnsi="Avenir" w:cs="Avenir"/>
                <w:b/>
                <w:bCs/>
                <w:sz w:val="20"/>
                <w:szCs w:val="20"/>
                <w:lang w:val="en-GB"/>
              </w:rPr>
              <w:t>10,440,145</w:t>
            </w:r>
          </w:p>
        </w:tc>
      </w:tr>
      <w:tr w:rsidR="00171C2D" w:rsidRPr="00171C2D" w14:paraId="253AA26B" w14:textId="77777777" w:rsidTr="002B42EC">
        <w:tc>
          <w:tcPr>
            <w:tcW w:w="1995" w:type="dxa"/>
            <w:tcBorders>
              <w:top w:val="single" w:sz="8" w:space="0" w:color="000000"/>
              <w:left w:val="single" w:sz="8" w:space="0" w:color="000000"/>
              <w:bottom w:val="single" w:sz="8" w:space="0" w:color="000000"/>
              <w:right w:val="single" w:sz="8" w:space="0" w:color="000000"/>
            </w:tcBorders>
            <w:shd w:val="clear" w:color="auto" w:fill="auto"/>
          </w:tcPr>
          <w:p w14:paraId="73558FFD" w14:textId="77777777" w:rsidR="00B556DE" w:rsidRPr="00171C2D" w:rsidRDefault="000D6BB0" w:rsidP="002B42EC">
            <w:pPr>
              <w:widowControl w:val="0"/>
              <w:spacing w:line="240" w:lineRule="auto"/>
              <w:ind w:left="90"/>
              <w:rPr>
                <w:rFonts w:ascii="Avenir" w:eastAsia="Avenir" w:hAnsi="Avenir" w:cs="Avenir"/>
                <w:sz w:val="20"/>
                <w:szCs w:val="20"/>
                <w:lang w:val="en-GB"/>
              </w:rPr>
            </w:pPr>
            <w:r w:rsidRPr="00171C2D">
              <w:rPr>
                <w:rFonts w:ascii="Avenir" w:eastAsia="Avenir" w:hAnsi="Avenir" w:cs="Avenir"/>
                <w:sz w:val="20"/>
                <w:szCs w:val="20"/>
                <w:lang w:val="en-GB"/>
              </w:rPr>
              <w:t>Advertising and press</w:t>
            </w:r>
          </w:p>
        </w:tc>
        <w:tc>
          <w:tcPr>
            <w:tcW w:w="5565" w:type="dxa"/>
            <w:tcBorders>
              <w:top w:val="single" w:sz="8" w:space="0" w:color="000000"/>
              <w:left w:val="single" w:sz="8" w:space="0" w:color="000000"/>
              <w:bottom w:val="single" w:sz="8" w:space="0" w:color="000000"/>
              <w:right w:val="single" w:sz="8" w:space="0" w:color="000000"/>
            </w:tcBorders>
            <w:shd w:val="clear" w:color="auto" w:fill="auto"/>
          </w:tcPr>
          <w:p w14:paraId="3481D446" w14:textId="77777777" w:rsidR="00B556DE" w:rsidRPr="00171C2D" w:rsidRDefault="000D6BB0">
            <w:pPr>
              <w:widowControl w:val="0"/>
              <w:spacing w:line="240" w:lineRule="auto"/>
              <w:rPr>
                <w:rFonts w:ascii="Avenir" w:eastAsia="Avenir" w:hAnsi="Avenir" w:cs="Avenir"/>
                <w:sz w:val="20"/>
                <w:szCs w:val="20"/>
                <w:lang w:val="en-GB"/>
              </w:rPr>
            </w:pPr>
            <w:r w:rsidRPr="00171C2D">
              <w:rPr>
                <w:rFonts w:ascii="Avenir" w:eastAsia="Avenir" w:hAnsi="Avenir" w:cs="Avenir"/>
                <w:sz w:val="20"/>
                <w:szCs w:val="20"/>
                <w:lang w:val="en-GB"/>
              </w:rPr>
              <w:t>Where services fell under the general category of ‘advertising and press’</w:t>
            </w:r>
          </w:p>
        </w:tc>
        <w:tc>
          <w:tcPr>
            <w:tcW w:w="1605" w:type="dxa"/>
            <w:tcBorders>
              <w:top w:val="single" w:sz="8" w:space="0" w:color="000000"/>
              <w:left w:val="single" w:sz="8" w:space="0" w:color="000000"/>
              <w:bottom w:val="single" w:sz="8" w:space="0" w:color="000000"/>
              <w:right w:val="single" w:sz="8" w:space="0" w:color="000000"/>
            </w:tcBorders>
            <w:shd w:val="clear" w:color="auto" w:fill="auto"/>
          </w:tcPr>
          <w:p w14:paraId="73B9428A" w14:textId="1B478363" w:rsidR="00B556DE" w:rsidRPr="00171C2D" w:rsidRDefault="009014F3">
            <w:pPr>
              <w:jc w:val="both"/>
              <w:rPr>
                <w:rFonts w:ascii="Avenir" w:eastAsia="Avenir" w:hAnsi="Avenir" w:cs="Avenir"/>
                <w:sz w:val="20"/>
                <w:szCs w:val="20"/>
                <w:lang w:val="en-GB"/>
              </w:rPr>
            </w:pPr>
            <w:r>
              <w:rPr>
                <w:rFonts w:ascii="Avenir" w:eastAsia="Avenir" w:hAnsi="Avenir" w:cs="Avenir"/>
                <w:sz w:val="20"/>
                <w:szCs w:val="20"/>
                <w:lang w:val="en-GB"/>
              </w:rPr>
              <w:t>GBP </w:t>
            </w:r>
            <w:r w:rsidR="000D6BB0" w:rsidRPr="00171C2D">
              <w:rPr>
                <w:rFonts w:ascii="Avenir" w:eastAsia="Avenir" w:hAnsi="Avenir" w:cs="Avenir"/>
                <w:sz w:val="20"/>
                <w:szCs w:val="20"/>
                <w:lang w:val="en-GB"/>
              </w:rPr>
              <w:t>579,500</w:t>
            </w:r>
          </w:p>
        </w:tc>
      </w:tr>
      <w:tr w:rsidR="00171C2D" w:rsidRPr="00171C2D" w14:paraId="590FE0C2" w14:textId="77777777" w:rsidTr="002B42EC">
        <w:trPr>
          <w:trHeight w:val="400"/>
        </w:trPr>
        <w:tc>
          <w:tcPr>
            <w:tcW w:w="1995" w:type="dxa"/>
            <w:tcBorders>
              <w:top w:val="single" w:sz="8" w:space="0" w:color="000000"/>
              <w:left w:val="single" w:sz="8" w:space="0" w:color="000000"/>
              <w:bottom w:val="single" w:sz="8" w:space="0" w:color="000000"/>
              <w:right w:val="single" w:sz="8" w:space="0" w:color="000000"/>
            </w:tcBorders>
            <w:shd w:val="clear" w:color="auto" w:fill="auto"/>
          </w:tcPr>
          <w:p w14:paraId="5575A721" w14:textId="77777777" w:rsidR="00B556DE" w:rsidRPr="00171C2D" w:rsidRDefault="000D6BB0" w:rsidP="002B42EC">
            <w:pPr>
              <w:ind w:left="90"/>
              <w:rPr>
                <w:rFonts w:ascii="Avenir" w:eastAsia="Avenir" w:hAnsi="Avenir" w:cs="Avenir"/>
                <w:sz w:val="20"/>
                <w:szCs w:val="20"/>
                <w:lang w:val="en-GB"/>
              </w:rPr>
            </w:pPr>
            <w:r w:rsidRPr="00171C2D">
              <w:rPr>
                <w:rFonts w:ascii="Avenir" w:eastAsia="Avenir" w:hAnsi="Avenir" w:cs="Avenir"/>
                <w:sz w:val="20"/>
                <w:szCs w:val="20"/>
                <w:lang w:val="en-GB"/>
              </w:rPr>
              <w:t>Merchandise</w:t>
            </w:r>
          </w:p>
        </w:tc>
        <w:tc>
          <w:tcPr>
            <w:tcW w:w="5565" w:type="dxa"/>
            <w:tcBorders>
              <w:top w:val="single" w:sz="8" w:space="0" w:color="000000"/>
              <w:left w:val="single" w:sz="8" w:space="0" w:color="000000"/>
              <w:bottom w:val="single" w:sz="8" w:space="0" w:color="000000"/>
              <w:right w:val="single" w:sz="8" w:space="0" w:color="000000"/>
            </w:tcBorders>
            <w:shd w:val="clear" w:color="auto" w:fill="auto"/>
          </w:tcPr>
          <w:p w14:paraId="1D99890A" w14:textId="77777777" w:rsidR="00B556DE" w:rsidRPr="00171C2D" w:rsidRDefault="000D6BB0">
            <w:pPr>
              <w:jc w:val="both"/>
              <w:rPr>
                <w:rFonts w:ascii="Avenir" w:eastAsia="Avenir" w:hAnsi="Avenir" w:cs="Avenir"/>
                <w:sz w:val="20"/>
                <w:szCs w:val="20"/>
                <w:lang w:val="en-GB"/>
              </w:rPr>
            </w:pPr>
            <w:r w:rsidRPr="00171C2D">
              <w:rPr>
                <w:rFonts w:ascii="Avenir" w:eastAsia="Avenir" w:hAnsi="Avenir" w:cs="Avenir"/>
                <w:sz w:val="20"/>
                <w:szCs w:val="20"/>
                <w:lang w:val="en-GB"/>
              </w:rPr>
              <w:t xml:space="preserve">Production of campaign bric-a-brac such as boxing gloves, umbrellas, wrapping paper, badges, </w:t>
            </w:r>
            <w:proofErr w:type="gramStart"/>
            <w:r w:rsidRPr="00171C2D">
              <w:rPr>
                <w:rFonts w:ascii="Avenir" w:eastAsia="Avenir" w:hAnsi="Avenir" w:cs="Avenir"/>
                <w:sz w:val="20"/>
                <w:szCs w:val="20"/>
                <w:lang w:val="en-GB"/>
              </w:rPr>
              <w:t>rosettes</w:t>
            </w:r>
            <w:proofErr w:type="gramEnd"/>
            <w:r w:rsidRPr="00171C2D">
              <w:rPr>
                <w:rFonts w:ascii="Avenir" w:eastAsia="Avenir" w:hAnsi="Avenir" w:cs="Avenir"/>
                <w:sz w:val="20"/>
                <w:szCs w:val="20"/>
                <w:lang w:val="en-GB"/>
              </w:rPr>
              <w:t xml:space="preserve"> and balloons</w:t>
            </w:r>
          </w:p>
        </w:tc>
        <w:tc>
          <w:tcPr>
            <w:tcW w:w="1605" w:type="dxa"/>
            <w:tcBorders>
              <w:top w:val="single" w:sz="8" w:space="0" w:color="000000"/>
              <w:left w:val="single" w:sz="8" w:space="0" w:color="000000"/>
              <w:bottom w:val="single" w:sz="8" w:space="0" w:color="000000"/>
              <w:right w:val="single" w:sz="8" w:space="0" w:color="000000"/>
            </w:tcBorders>
            <w:shd w:val="clear" w:color="auto" w:fill="auto"/>
          </w:tcPr>
          <w:p w14:paraId="262AF543" w14:textId="7D826A08" w:rsidR="00B556DE" w:rsidRPr="00171C2D" w:rsidRDefault="009014F3">
            <w:pPr>
              <w:jc w:val="both"/>
              <w:rPr>
                <w:rFonts w:ascii="Avenir" w:eastAsia="Avenir" w:hAnsi="Avenir" w:cs="Avenir"/>
                <w:sz w:val="20"/>
                <w:szCs w:val="20"/>
                <w:lang w:val="en-GB"/>
              </w:rPr>
            </w:pPr>
            <w:r>
              <w:rPr>
                <w:rFonts w:ascii="Avenir" w:eastAsia="Avenir" w:hAnsi="Avenir" w:cs="Avenir"/>
                <w:sz w:val="20"/>
                <w:szCs w:val="20"/>
                <w:lang w:val="en-GB"/>
              </w:rPr>
              <w:t>GBP </w:t>
            </w:r>
            <w:r w:rsidR="000D6BB0" w:rsidRPr="00171C2D">
              <w:rPr>
                <w:rFonts w:ascii="Avenir" w:eastAsia="Avenir" w:hAnsi="Avenir" w:cs="Avenir"/>
                <w:sz w:val="20"/>
                <w:szCs w:val="20"/>
                <w:lang w:val="en-GB"/>
              </w:rPr>
              <w:t>302,183</w:t>
            </w:r>
          </w:p>
        </w:tc>
      </w:tr>
      <w:tr w:rsidR="00171C2D" w:rsidRPr="00171C2D" w14:paraId="4132488F" w14:textId="77777777" w:rsidTr="002B42EC">
        <w:trPr>
          <w:trHeight w:val="400"/>
        </w:trPr>
        <w:tc>
          <w:tcPr>
            <w:tcW w:w="1995" w:type="dxa"/>
            <w:tcBorders>
              <w:top w:val="single" w:sz="8" w:space="0" w:color="000000"/>
              <w:left w:val="single" w:sz="8" w:space="0" w:color="000000"/>
              <w:bottom w:val="single" w:sz="8" w:space="0" w:color="000000"/>
              <w:right w:val="single" w:sz="8" w:space="0" w:color="000000"/>
            </w:tcBorders>
            <w:shd w:val="clear" w:color="auto" w:fill="auto"/>
          </w:tcPr>
          <w:p w14:paraId="512E4F03" w14:textId="77777777" w:rsidR="00B556DE" w:rsidRPr="00171C2D" w:rsidRDefault="000D6BB0" w:rsidP="002B42EC">
            <w:pPr>
              <w:ind w:left="90"/>
              <w:rPr>
                <w:rFonts w:ascii="Avenir" w:eastAsia="Avenir" w:hAnsi="Avenir" w:cs="Avenir"/>
                <w:sz w:val="20"/>
                <w:szCs w:val="20"/>
                <w:lang w:val="en-GB"/>
              </w:rPr>
            </w:pPr>
            <w:r w:rsidRPr="00171C2D">
              <w:rPr>
                <w:rFonts w:ascii="Avenir" w:eastAsia="Avenir" w:hAnsi="Avenir" w:cs="Avenir"/>
                <w:sz w:val="20"/>
                <w:szCs w:val="20"/>
                <w:lang w:val="en-GB"/>
              </w:rPr>
              <w:t>Newspaper or magazine advertising</w:t>
            </w:r>
          </w:p>
        </w:tc>
        <w:tc>
          <w:tcPr>
            <w:tcW w:w="5565" w:type="dxa"/>
            <w:tcBorders>
              <w:top w:val="single" w:sz="8" w:space="0" w:color="000000"/>
              <w:left w:val="single" w:sz="8" w:space="0" w:color="000000"/>
              <w:bottom w:val="single" w:sz="8" w:space="0" w:color="000000"/>
              <w:right w:val="single" w:sz="8" w:space="0" w:color="000000"/>
            </w:tcBorders>
            <w:shd w:val="clear" w:color="auto" w:fill="auto"/>
          </w:tcPr>
          <w:p w14:paraId="789A0C70" w14:textId="77777777" w:rsidR="00B556DE" w:rsidRPr="00171C2D" w:rsidRDefault="000D6BB0">
            <w:pPr>
              <w:jc w:val="both"/>
              <w:rPr>
                <w:rFonts w:ascii="Avenir" w:eastAsia="Avenir" w:hAnsi="Avenir" w:cs="Avenir"/>
                <w:sz w:val="20"/>
                <w:szCs w:val="20"/>
                <w:lang w:val="en-GB"/>
              </w:rPr>
            </w:pPr>
            <w:r w:rsidRPr="00171C2D">
              <w:rPr>
                <w:rFonts w:ascii="Avenir" w:eastAsia="Avenir" w:hAnsi="Avenir" w:cs="Avenir"/>
                <w:sz w:val="20"/>
                <w:szCs w:val="20"/>
                <w:lang w:val="en-GB"/>
              </w:rPr>
              <w:t>Paid adverts in national or regional news outlets (either in print or online versions)</w:t>
            </w:r>
          </w:p>
        </w:tc>
        <w:tc>
          <w:tcPr>
            <w:tcW w:w="1605" w:type="dxa"/>
            <w:tcBorders>
              <w:top w:val="single" w:sz="8" w:space="0" w:color="000000"/>
              <w:left w:val="single" w:sz="8" w:space="0" w:color="000000"/>
              <w:bottom w:val="single" w:sz="8" w:space="0" w:color="000000"/>
              <w:right w:val="single" w:sz="8" w:space="0" w:color="000000"/>
            </w:tcBorders>
            <w:shd w:val="clear" w:color="auto" w:fill="auto"/>
          </w:tcPr>
          <w:p w14:paraId="48DC2989" w14:textId="72DA9748" w:rsidR="00B556DE" w:rsidRPr="00171C2D" w:rsidRDefault="009014F3">
            <w:pPr>
              <w:jc w:val="both"/>
              <w:rPr>
                <w:rFonts w:ascii="Avenir" w:eastAsia="Avenir" w:hAnsi="Avenir" w:cs="Avenir"/>
                <w:sz w:val="20"/>
                <w:szCs w:val="20"/>
                <w:lang w:val="en-GB"/>
              </w:rPr>
            </w:pPr>
            <w:r>
              <w:rPr>
                <w:rFonts w:ascii="Avenir" w:eastAsia="Avenir" w:hAnsi="Avenir" w:cs="Avenir"/>
                <w:sz w:val="20"/>
                <w:szCs w:val="20"/>
                <w:lang w:val="en-GB"/>
              </w:rPr>
              <w:t>GBP </w:t>
            </w:r>
            <w:r w:rsidR="000D6BB0" w:rsidRPr="00171C2D">
              <w:rPr>
                <w:rFonts w:ascii="Avenir" w:eastAsia="Avenir" w:hAnsi="Avenir" w:cs="Avenir"/>
                <w:sz w:val="20"/>
                <w:szCs w:val="20"/>
                <w:lang w:val="en-GB"/>
              </w:rPr>
              <w:t>1,381,771</w:t>
            </w:r>
          </w:p>
        </w:tc>
      </w:tr>
      <w:tr w:rsidR="00171C2D" w:rsidRPr="00171C2D" w14:paraId="029E97A8" w14:textId="77777777" w:rsidTr="002B42EC">
        <w:trPr>
          <w:trHeight w:val="400"/>
        </w:trPr>
        <w:tc>
          <w:tcPr>
            <w:tcW w:w="1995" w:type="dxa"/>
            <w:tcBorders>
              <w:top w:val="single" w:sz="8" w:space="0" w:color="000000"/>
              <w:left w:val="single" w:sz="8" w:space="0" w:color="000000"/>
              <w:bottom w:val="single" w:sz="8" w:space="0" w:color="000000"/>
              <w:right w:val="single" w:sz="8" w:space="0" w:color="000000"/>
            </w:tcBorders>
            <w:shd w:val="clear" w:color="auto" w:fill="auto"/>
          </w:tcPr>
          <w:p w14:paraId="41165CFB" w14:textId="77777777" w:rsidR="00B556DE" w:rsidRPr="00171C2D" w:rsidRDefault="000D6BB0" w:rsidP="002B42EC">
            <w:pPr>
              <w:ind w:left="90"/>
              <w:rPr>
                <w:rFonts w:ascii="Avenir" w:eastAsia="Avenir" w:hAnsi="Avenir" w:cs="Avenir"/>
                <w:sz w:val="20"/>
                <w:szCs w:val="20"/>
                <w:lang w:val="en-GB"/>
              </w:rPr>
            </w:pPr>
            <w:r w:rsidRPr="00171C2D">
              <w:rPr>
                <w:rFonts w:ascii="Avenir" w:eastAsia="Avenir" w:hAnsi="Avenir" w:cs="Avenir"/>
                <w:sz w:val="20"/>
                <w:szCs w:val="20"/>
                <w:lang w:val="en-GB"/>
              </w:rPr>
              <w:t>Social media advertising</w:t>
            </w:r>
          </w:p>
        </w:tc>
        <w:tc>
          <w:tcPr>
            <w:tcW w:w="5565" w:type="dxa"/>
            <w:tcBorders>
              <w:top w:val="single" w:sz="8" w:space="0" w:color="000000"/>
              <w:left w:val="single" w:sz="8" w:space="0" w:color="000000"/>
              <w:bottom w:val="single" w:sz="8" w:space="0" w:color="000000"/>
              <w:right w:val="single" w:sz="8" w:space="0" w:color="000000"/>
            </w:tcBorders>
            <w:shd w:val="clear" w:color="auto" w:fill="auto"/>
          </w:tcPr>
          <w:p w14:paraId="11F9EA85" w14:textId="77777777" w:rsidR="00B556DE" w:rsidRPr="00171C2D" w:rsidRDefault="000D6BB0">
            <w:pPr>
              <w:jc w:val="both"/>
              <w:rPr>
                <w:rFonts w:ascii="Avenir" w:eastAsia="Avenir" w:hAnsi="Avenir" w:cs="Avenir"/>
                <w:sz w:val="20"/>
                <w:szCs w:val="20"/>
                <w:lang w:val="en-GB"/>
              </w:rPr>
            </w:pPr>
            <w:r w:rsidRPr="00171C2D">
              <w:rPr>
                <w:rFonts w:ascii="Avenir" w:eastAsia="Avenir" w:hAnsi="Avenir" w:cs="Avenir"/>
                <w:sz w:val="20"/>
                <w:szCs w:val="20"/>
                <w:lang w:val="en-GB"/>
              </w:rPr>
              <w:t xml:space="preserve">Paid adverts placed on social media platforms (for example, on Facebook, </w:t>
            </w:r>
            <w:proofErr w:type="gramStart"/>
            <w:r w:rsidRPr="00171C2D">
              <w:rPr>
                <w:rFonts w:ascii="Avenir" w:eastAsia="Avenir" w:hAnsi="Avenir" w:cs="Avenir"/>
                <w:sz w:val="20"/>
                <w:szCs w:val="20"/>
                <w:lang w:val="en-GB"/>
              </w:rPr>
              <w:t>Instagram</w:t>
            </w:r>
            <w:proofErr w:type="gramEnd"/>
            <w:r w:rsidRPr="00171C2D">
              <w:rPr>
                <w:rFonts w:ascii="Avenir" w:eastAsia="Avenir" w:hAnsi="Avenir" w:cs="Avenir"/>
                <w:sz w:val="20"/>
                <w:szCs w:val="20"/>
                <w:lang w:val="en-GB"/>
              </w:rPr>
              <w:t xml:space="preserve"> or Snapchat)</w:t>
            </w:r>
          </w:p>
        </w:tc>
        <w:tc>
          <w:tcPr>
            <w:tcW w:w="1605" w:type="dxa"/>
            <w:tcBorders>
              <w:top w:val="single" w:sz="8" w:space="0" w:color="000000"/>
              <w:left w:val="single" w:sz="8" w:space="0" w:color="000000"/>
              <w:bottom w:val="single" w:sz="8" w:space="0" w:color="000000"/>
              <w:right w:val="single" w:sz="8" w:space="0" w:color="000000"/>
            </w:tcBorders>
            <w:shd w:val="clear" w:color="auto" w:fill="auto"/>
          </w:tcPr>
          <w:p w14:paraId="3BA6A1EB" w14:textId="2F86923F" w:rsidR="00B556DE" w:rsidRPr="00171C2D" w:rsidRDefault="009014F3">
            <w:pPr>
              <w:jc w:val="both"/>
              <w:rPr>
                <w:rFonts w:ascii="Avenir" w:eastAsia="Avenir" w:hAnsi="Avenir" w:cs="Avenir"/>
                <w:sz w:val="20"/>
                <w:szCs w:val="20"/>
                <w:lang w:val="en-GB"/>
              </w:rPr>
            </w:pPr>
            <w:r>
              <w:rPr>
                <w:rFonts w:ascii="Avenir" w:eastAsia="Avenir" w:hAnsi="Avenir" w:cs="Avenir"/>
                <w:sz w:val="20"/>
                <w:szCs w:val="20"/>
                <w:lang w:val="en-GB"/>
              </w:rPr>
              <w:t>GBP </w:t>
            </w:r>
            <w:r w:rsidR="000D6BB0" w:rsidRPr="00171C2D">
              <w:rPr>
                <w:rFonts w:ascii="Avenir" w:eastAsia="Avenir" w:hAnsi="Avenir" w:cs="Avenir"/>
                <w:sz w:val="20"/>
                <w:szCs w:val="20"/>
                <w:lang w:val="en-GB"/>
              </w:rPr>
              <w:t>5,757,592</w:t>
            </w:r>
          </w:p>
        </w:tc>
      </w:tr>
      <w:tr w:rsidR="00171C2D" w:rsidRPr="00171C2D" w14:paraId="475A9B93" w14:textId="77777777" w:rsidTr="002B42EC">
        <w:trPr>
          <w:trHeight w:val="400"/>
        </w:trPr>
        <w:tc>
          <w:tcPr>
            <w:tcW w:w="1995" w:type="dxa"/>
            <w:tcBorders>
              <w:top w:val="single" w:sz="8" w:space="0" w:color="000000"/>
              <w:left w:val="single" w:sz="8" w:space="0" w:color="000000"/>
              <w:bottom w:val="single" w:sz="8" w:space="0" w:color="000000"/>
              <w:right w:val="single" w:sz="8" w:space="0" w:color="000000"/>
            </w:tcBorders>
            <w:shd w:val="clear" w:color="auto" w:fill="auto"/>
          </w:tcPr>
          <w:p w14:paraId="192CAEFF" w14:textId="77777777" w:rsidR="00B556DE" w:rsidRPr="00171C2D" w:rsidRDefault="000D6BB0" w:rsidP="002B42EC">
            <w:pPr>
              <w:ind w:left="90"/>
              <w:rPr>
                <w:rFonts w:ascii="Avenir" w:eastAsia="Avenir" w:hAnsi="Avenir" w:cs="Avenir"/>
                <w:sz w:val="20"/>
                <w:szCs w:val="20"/>
                <w:lang w:val="en-GB"/>
              </w:rPr>
            </w:pPr>
            <w:r w:rsidRPr="00171C2D">
              <w:rPr>
                <w:rFonts w:ascii="Avenir" w:eastAsia="Avenir" w:hAnsi="Avenir" w:cs="Avenir"/>
                <w:sz w:val="20"/>
                <w:szCs w:val="20"/>
                <w:lang w:val="en-GB"/>
              </w:rPr>
              <w:t>Online advertising</w:t>
            </w:r>
          </w:p>
        </w:tc>
        <w:tc>
          <w:tcPr>
            <w:tcW w:w="5565" w:type="dxa"/>
            <w:tcBorders>
              <w:top w:val="single" w:sz="8" w:space="0" w:color="000000"/>
              <w:left w:val="single" w:sz="8" w:space="0" w:color="000000"/>
              <w:bottom w:val="single" w:sz="8" w:space="0" w:color="000000"/>
              <w:right w:val="single" w:sz="8" w:space="0" w:color="000000"/>
            </w:tcBorders>
            <w:shd w:val="clear" w:color="auto" w:fill="auto"/>
          </w:tcPr>
          <w:p w14:paraId="6242317F" w14:textId="77777777" w:rsidR="00B556DE" w:rsidRPr="00171C2D" w:rsidRDefault="000D6BB0">
            <w:pPr>
              <w:jc w:val="both"/>
              <w:rPr>
                <w:rFonts w:ascii="Avenir" w:eastAsia="Avenir" w:hAnsi="Avenir" w:cs="Avenir"/>
                <w:sz w:val="20"/>
                <w:szCs w:val="20"/>
                <w:lang w:val="en-GB"/>
              </w:rPr>
            </w:pPr>
            <w:r w:rsidRPr="00171C2D">
              <w:rPr>
                <w:rFonts w:ascii="Avenir" w:eastAsia="Avenir" w:hAnsi="Avenir" w:cs="Avenir"/>
                <w:sz w:val="20"/>
                <w:szCs w:val="20"/>
                <w:lang w:val="en-GB"/>
              </w:rPr>
              <w:t>Generic paid web adverts</w:t>
            </w:r>
          </w:p>
        </w:tc>
        <w:tc>
          <w:tcPr>
            <w:tcW w:w="1605" w:type="dxa"/>
            <w:tcBorders>
              <w:top w:val="single" w:sz="8" w:space="0" w:color="000000"/>
              <w:left w:val="single" w:sz="8" w:space="0" w:color="000000"/>
              <w:bottom w:val="single" w:sz="8" w:space="0" w:color="000000"/>
              <w:right w:val="single" w:sz="8" w:space="0" w:color="000000"/>
            </w:tcBorders>
            <w:shd w:val="clear" w:color="auto" w:fill="auto"/>
          </w:tcPr>
          <w:p w14:paraId="2071C335" w14:textId="57D5EA94" w:rsidR="00B556DE" w:rsidRPr="00171C2D" w:rsidRDefault="009014F3">
            <w:pPr>
              <w:jc w:val="both"/>
              <w:rPr>
                <w:rFonts w:ascii="Avenir" w:eastAsia="Avenir" w:hAnsi="Avenir" w:cs="Avenir"/>
                <w:sz w:val="20"/>
                <w:szCs w:val="20"/>
                <w:lang w:val="en-GB"/>
              </w:rPr>
            </w:pPr>
            <w:r>
              <w:rPr>
                <w:rFonts w:ascii="Avenir" w:eastAsia="Avenir" w:hAnsi="Avenir" w:cs="Avenir"/>
                <w:sz w:val="20"/>
                <w:szCs w:val="20"/>
                <w:lang w:val="en-GB"/>
              </w:rPr>
              <w:t>GBP </w:t>
            </w:r>
            <w:r w:rsidR="000D6BB0" w:rsidRPr="00171C2D">
              <w:rPr>
                <w:rFonts w:ascii="Avenir" w:eastAsia="Avenir" w:hAnsi="Avenir" w:cs="Avenir"/>
                <w:sz w:val="20"/>
                <w:szCs w:val="20"/>
                <w:lang w:val="en-GB"/>
              </w:rPr>
              <w:t>1,861,117</w:t>
            </w:r>
          </w:p>
        </w:tc>
      </w:tr>
      <w:tr w:rsidR="00171C2D" w:rsidRPr="00171C2D" w14:paraId="26E6DAEF" w14:textId="77777777" w:rsidTr="002B42EC">
        <w:trPr>
          <w:trHeight w:val="400"/>
        </w:trPr>
        <w:tc>
          <w:tcPr>
            <w:tcW w:w="1995" w:type="dxa"/>
            <w:tcBorders>
              <w:top w:val="single" w:sz="8" w:space="0" w:color="000000"/>
              <w:left w:val="single" w:sz="8" w:space="0" w:color="000000"/>
              <w:bottom w:val="single" w:sz="8" w:space="0" w:color="000000"/>
              <w:right w:val="single" w:sz="8" w:space="0" w:color="000000"/>
            </w:tcBorders>
            <w:shd w:val="clear" w:color="auto" w:fill="auto"/>
          </w:tcPr>
          <w:p w14:paraId="7A0F2FA4" w14:textId="77777777" w:rsidR="00B556DE" w:rsidRPr="00171C2D" w:rsidRDefault="000D6BB0" w:rsidP="002B42EC">
            <w:pPr>
              <w:ind w:left="90"/>
              <w:rPr>
                <w:rFonts w:ascii="Avenir" w:eastAsia="Avenir" w:hAnsi="Avenir" w:cs="Avenir"/>
                <w:sz w:val="20"/>
                <w:szCs w:val="20"/>
                <w:lang w:val="en-GB"/>
              </w:rPr>
            </w:pPr>
            <w:r w:rsidRPr="00171C2D">
              <w:rPr>
                <w:rFonts w:ascii="Avenir" w:eastAsia="Avenir" w:hAnsi="Avenir" w:cs="Avenir"/>
                <w:sz w:val="20"/>
                <w:szCs w:val="20"/>
                <w:lang w:val="en-GB"/>
              </w:rPr>
              <w:t>Other forms of advertising</w:t>
            </w:r>
          </w:p>
        </w:tc>
        <w:tc>
          <w:tcPr>
            <w:tcW w:w="5565" w:type="dxa"/>
            <w:tcBorders>
              <w:top w:val="single" w:sz="8" w:space="0" w:color="000000"/>
              <w:left w:val="single" w:sz="8" w:space="0" w:color="000000"/>
              <w:bottom w:val="single" w:sz="8" w:space="0" w:color="000000"/>
              <w:right w:val="single" w:sz="8" w:space="0" w:color="000000"/>
            </w:tcBorders>
            <w:shd w:val="clear" w:color="auto" w:fill="auto"/>
          </w:tcPr>
          <w:p w14:paraId="33A38D3B" w14:textId="77777777" w:rsidR="00B556DE" w:rsidRPr="00171C2D" w:rsidRDefault="000D6BB0">
            <w:pPr>
              <w:jc w:val="both"/>
              <w:rPr>
                <w:rFonts w:ascii="Avenir" w:eastAsia="Avenir" w:hAnsi="Avenir" w:cs="Avenir"/>
                <w:sz w:val="20"/>
                <w:szCs w:val="20"/>
                <w:lang w:val="en-GB"/>
              </w:rPr>
            </w:pPr>
            <w:r w:rsidRPr="00171C2D">
              <w:rPr>
                <w:rFonts w:ascii="Avenir" w:eastAsia="Avenir" w:hAnsi="Avenir" w:cs="Avenir"/>
                <w:sz w:val="20"/>
                <w:szCs w:val="20"/>
                <w:lang w:val="en-GB"/>
              </w:rPr>
              <w:t xml:space="preserve">Paid advertising in a form that doesn’t necessarily fit into any of the above categories and includes the use of ‘ad </w:t>
            </w:r>
            <w:proofErr w:type="gramStart"/>
            <w:r w:rsidRPr="00171C2D">
              <w:rPr>
                <w:rFonts w:ascii="Avenir" w:eastAsia="Avenir" w:hAnsi="Avenir" w:cs="Avenir"/>
                <w:sz w:val="20"/>
                <w:szCs w:val="20"/>
                <w:lang w:val="en-GB"/>
              </w:rPr>
              <w:t>vans’</w:t>
            </w:r>
            <w:proofErr w:type="gramEnd"/>
            <w:r w:rsidRPr="00171C2D">
              <w:rPr>
                <w:rFonts w:ascii="Avenir" w:eastAsia="Avenir" w:hAnsi="Avenir" w:cs="Avenir"/>
                <w:sz w:val="20"/>
                <w:szCs w:val="20"/>
                <w:lang w:val="en-GB"/>
              </w:rPr>
              <w:t xml:space="preserve"> and paid billboard adverts</w:t>
            </w:r>
          </w:p>
        </w:tc>
        <w:tc>
          <w:tcPr>
            <w:tcW w:w="1605" w:type="dxa"/>
            <w:tcBorders>
              <w:top w:val="single" w:sz="8" w:space="0" w:color="000000"/>
              <w:left w:val="single" w:sz="8" w:space="0" w:color="000000"/>
              <w:bottom w:val="single" w:sz="8" w:space="0" w:color="000000"/>
              <w:right w:val="single" w:sz="8" w:space="0" w:color="000000"/>
            </w:tcBorders>
            <w:shd w:val="clear" w:color="auto" w:fill="auto"/>
          </w:tcPr>
          <w:p w14:paraId="246DE494" w14:textId="28B781C7" w:rsidR="00B556DE" w:rsidRPr="00171C2D" w:rsidRDefault="009014F3">
            <w:pPr>
              <w:jc w:val="both"/>
              <w:rPr>
                <w:rFonts w:ascii="Avenir" w:eastAsia="Avenir" w:hAnsi="Avenir" w:cs="Avenir"/>
                <w:sz w:val="20"/>
                <w:szCs w:val="20"/>
                <w:lang w:val="en-GB"/>
              </w:rPr>
            </w:pPr>
            <w:r>
              <w:rPr>
                <w:rFonts w:ascii="Avenir" w:eastAsia="Avenir" w:hAnsi="Avenir" w:cs="Avenir"/>
                <w:sz w:val="20"/>
                <w:szCs w:val="20"/>
                <w:lang w:val="en-GB"/>
              </w:rPr>
              <w:t>GBP </w:t>
            </w:r>
            <w:r w:rsidR="000D6BB0" w:rsidRPr="00171C2D">
              <w:rPr>
                <w:rFonts w:ascii="Avenir" w:eastAsia="Avenir" w:hAnsi="Avenir" w:cs="Avenir"/>
                <w:sz w:val="20"/>
                <w:szCs w:val="20"/>
                <w:lang w:val="en-GB"/>
              </w:rPr>
              <w:t>534,507</w:t>
            </w:r>
          </w:p>
        </w:tc>
      </w:tr>
      <w:tr w:rsidR="009014F3" w:rsidRPr="00171C2D" w14:paraId="7ED4898D" w14:textId="77777777" w:rsidTr="002B42EC">
        <w:trPr>
          <w:trHeight w:val="400"/>
        </w:trPr>
        <w:tc>
          <w:tcPr>
            <w:tcW w:w="1995" w:type="dxa"/>
            <w:tcBorders>
              <w:top w:val="single" w:sz="8" w:space="0" w:color="000000"/>
              <w:left w:val="single" w:sz="8" w:space="0" w:color="000000"/>
              <w:bottom w:val="single" w:sz="8" w:space="0" w:color="000000"/>
              <w:right w:val="single" w:sz="8" w:space="0" w:color="000000"/>
            </w:tcBorders>
            <w:shd w:val="clear" w:color="auto" w:fill="auto"/>
          </w:tcPr>
          <w:p w14:paraId="0169BC26" w14:textId="77777777" w:rsidR="00B556DE" w:rsidRPr="00171C2D" w:rsidRDefault="000D6BB0" w:rsidP="002B42EC">
            <w:pPr>
              <w:widowControl w:val="0"/>
              <w:spacing w:line="240" w:lineRule="auto"/>
              <w:ind w:left="90"/>
              <w:rPr>
                <w:rFonts w:ascii="Avenir" w:eastAsia="Avenir" w:hAnsi="Avenir" w:cs="Avenir"/>
                <w:sz w:val="20"/>
                <w:szCs w:val="20"/>
                <w:lang w:val="en-GB"/>
              </w:rPr>
            </w:pPr>
            <w:r w:rsidRPr="00171C2D">
              <w:rPr>
                <w:rFonts w:ascii="Avenir" w:eastAsia="Avenir" w:hAnsi="Avenir" w:cs="Avenir"/>
                <w:sz w:val="20"/>
                <w:szCs w:val="20"/>
                <w:lang w:val="en-GB"/>
              </w:rPr>
              <w:t>PR</w:t>
            </w:r>
          </w:p>
        </w:tc>
        <w:tc>
          <w:tcPr>
            <w:tcW w:w="5565" w:type="dxa"/>
            <w:tcBorders>
              <w:top w:val="single" w:sz="8" w:space="0" w:color="000000"/>
              <w:left w:val="single" w:sz="8" w:space="0" w:color="000000"/>
              <w:bottom w:val="single" w:sz="8" w:space="0" w:color="000000"/>
              <w:right w:val="single" w:sz="8" w:space="0" w:color="000000"/>
            </w:tcBorders>
            <w:shd w:val="clear" w:color="auto" w:fill="auto"/>
          </w:tcPr>
          <w:p w14:paraId="5063AF8E" w14:textId="77777777" w:rsidR="00B556DE" w:rsidRPr="00171C2D" w:rsidRDefault="000D6BB0">
            <w:pPr>
              <w:widowControl w:val="0"/>
              <w:spacing w:line="240" w:lineRule="auto"/>
              <w:rPr>
                <w:rFonts w:ascii="Avenir" w:eastAsia="Avenir" w:hAnsi="Avenir" w:cs="Avenir"/>
                <w:sz w:val="20"/>
                <w:szCs w:val="20"/>
                <w:lang w:val="en-GB"/>
              </w:rPr>
            </w:pPr>
            <w:r w:rsidRPr="00171C2D">
              <w:rPr>
                <w:rFonts w:ascii="Avenir" w:eastAsia="Avenir" w:hAnsi="Avenir" w:cs="Avenir"/>
                <w:sz w:val="20"/>
                <w:szCs w:val="20"/>
                <w:lang w:val="en-GB"/>
              </w:rPr>
              <w:t>Paid public relations content and advisers</w:t>
            </w:r>
          </w:p>
        </w:tc>
        <w:tc>
          <w:tcPr>
            <w:tcW w:w="1605" w:type="dxa"/>
            <w:tcBorders>
              <w:top w:val="single" w:sz="8" w:space="0" w:color="000000"/>
              <w:left w:val="single" w:sz="8" w:space="0" w:color="000000"/>
              <w:bottom w:val="single" w:sz="8" w:space="0" w:color="000000"/>
              <w:right w:val="single" w:sz="8" w:space="0" w:color="000000"/>
            </w:tcBorders>
            <w:shd w:val="clear" w:color="auto" w:fill="auto"/>
          </w:tcPr>
          <w:p w14:paraId="52616E62" w14:textId="16E58F00" w:rsidR="00B556DE" w:rsidRPr="00171C2D" w:rsidRDefault="009014F3" w:rsidP="00BB27FE">
            <w:pPr>
              <w:jc w:val="both"/>
              <w:rPr>
                <w:rFonts w:ascii="Avenir" w:eastAsia="Avenir" w:hAnsi="Avenir" w:cs="Avenir"/>
                <w:sz w:val="20"/>
                <w:szCs w:val="20"/>
                <w:lang w:val="en-GB"/>
              </w:rPr>
            </w:pPr>
            <w:r>
              <w:rPr>
                <w:rFonts w:ascii="Avenir" w:eastAsia="Avenir" w:hAnsi="Avenir" w:cs="Avenir"/>
                <w:sz w:val="20"/>
                <w:szCs w:val="20"/>
                <w:lang w:val="en-GB"/>
              </w:rPr>
              <w:t>GBP </w:t>
            </w:r>
            <w:r w:rsidR="000D6BB0" w:rsidRPr="00171C2D">
              <w:rPr>
                <w:rFonts w:ascii="Avenir" w:eastAsia="Avenir" w:hAnsi="Avenir" w:cs="Avenir"/>
                <w:sz w:val="20"/>
                <w:szCs w:val="20"/>
                <w:lang w:val="en-GB"/>
              </w:rPr>
              <w:t>23,475</w:t>
            </w:r>
          </w:p>
        </w:tc>
      </w:tr>
    </w:tbl>
    <w:p w14:paraId="3806B052" w14:textId="77777777" w:rsidR="00CD2046" w:rsidRDefault="00CD2046" w:rsidP="00CD2046">
      <w:pPr>
        <w:rPr>
          <w:rFonts w:ascii="Avenir" w:eastAsia="Avenir" w:hAnsi="Avenir" w:cs="Avenir"/>
          <w:lang w:val="en-GB"/>
        </w:rPr>
      </w:pPr>
      <w:r>
        <w:rPr>
          <w:rFonts w:ascii="Avenir" w:eastAsia="Avenir" w:hAnsi="Avenir" w:cs="Avenir"/>
          <w:lang w:val="en-GB"/>
        </w:rPr>
        <w:t>Source: Authors´ analysis of invoices returned to the Electoral Commission for the 2019 General Election.</w:t>
      </w:r>
    </w:p>
    <w:p w14:paraId="3AADF244" w14:textId="73A70790" w:rsidR="00B556DE" w:rsidRPr="00171C2D" w:rsidRDefault="00B556DE">
      <w:pPr>
        <w:jc w:val="both"/>
        <w:rPr>
          <w:rFonts w:ascii="Avenir" w:eastAsia="Avenir" w:hAnsi="Avenir" w:cs="Avenir"/>
          <w:lang w:val="en-GB"/>
        </w:rPr>
      </w:pPr>
    </w:p>
    <w:p w14:paraId="3E33E0E9" w14:textId="1DFA590E" w:rsidR="00B556DE" w:rsidRPr="00171C2D" w:rsidRDefault="00A11238">
      <w:pPr>
        <w:jc w:val="both"/>
        <w:rPr>
          <w:rFonts w:ascii="Avenir" w:eastAsia="Avenir" w:hAnsi="Avenir" w:cs="Avenir"/>
          <w:lang w:val="en-GB"/>
        </w:rPr>
      </w:pPr>
      <w:r w:rsidRPr="00171C2D">
        <w:rPr>
          <w:rFonts w:ascii="Avenir" w:eastAsia="Avenir" w:hAnsi="Avenir" w:cs="Avenir"/>
          <w:lang w:val="en-GB"/>
        </w:rPr>
        <w:t xml:space="preserve">The </w:t>
      </w:r>
      <w:r w:rsidR="000D6BB0" w:rsidRPr="00171C2D">
        <w:rPr>
          <w:rFonts w:ascii="Avenir" w:eastAsia="Avenir" w:hAnsi="Avenir" w:cs="Avenir"/>
          <w:lang w:val="en-GB"/>
        </w:rPr>
        <w:t xml:space="preserve">subcategories reveal that social media and online advertising dominate the overall picture of advertising and press spend (see Figure 7), in total accounting for </w:t>
      </w:r>
      <w:r w:rsidR="009014F3">
        <w:rPr>
          <w:rFonts w:ascii="Avenir" w:eastAsia="Avenir" w:hAnsi="Avenir" w:cs="Avenir"/>
          <w:lang w:val="en-GB"/>
        </w:rPr>
        <w:t>GBP </w:t>
      </w:r>
      <w:r w:rsidR="000D6BB0" w:rsidRPr="00171C2D">
        <w:rPr>
          <w:rFonts w:ascii="Avenir" w:eastAsia="Avenir" w:hAnsi="Avenir" w:cs="Avenir"/>
          <w:lang w:val="en-GB"/>
        </w:rPr>
        <w:t xml:space="preserve">7,618,709 of overall expenditure in this category (73 per cent). Newspaper or magazine advertising, on the other hand, accounts for </w:t>
      </w:r>
      <w:r w:rsidR="009014F3">
        <w:rPr>
          <w:rFonts w:ascii="Avenir" w:eastAsia="Avenir" w:hAnsi="Avenir" w:cs="Avenir"/>
          <w:lang w:val="en-GB"/>
        </w:rPr>
        <w:t>GBP </w:t>
      </w:r>
      <w:r w:rsidR="000D6BB0" w:rsidRPr="00171C2D">
        <w:rPr>
          <w:rFonts w:ascii="Avenir" w:eastAsia="Avenir" w:hAnsi="Avenir" w:cs="Avenir"/>
          <w:lang w:val="en-GB"/>
        </w:rPr>
        <w:t xml:space="preserve">1,381,771 of total spend in this category (13.2 per cent). This suggests that calls for increased regulation (Electoral Commission 2018) of online advertising and campaigning appear to be well placed, as significant resource is being devoted to this activity. </w:t>
      </w:r>
    </w:p>
    <w:p w14:paraId="67482C0D" w14:textId="77777777" w:rsidR="00B556DE" w:rsidRPr="00171C2D" w:rsidRDefault="00B556DE">
      <w:pPr>
        <w:jc w:val="both"/>
        <w:rPr>
          <w:rFonts w:ascii="Avenir" w:eastAsia="Avenir" w:hAnsi="Avenir" w:cs="Avenir"/>
          <w:lang w:val="en-GB"/>
        </w:rPr>
      </w:pPr>
    </w:p>
    <w:p w14:paraId="56CECDA8" w14:textId="107F2A0A" w:rsidR="00B556DE" w:rsidRPr="00171C2D" w:rsidRDefault="000D6BB0">
      <w:pPr>
        <w:jc w:val="both"/>
        <w:rPr>
          <w:rFonts w:ascii="Avenir" w:eastAsia="Avenir" w:hAnsi="Avenir" w:cs="Avenir"/>
          <w:b/>
          <w:bCs/>
          <w:iCs/>
          <w:lang w:val="en-GB"/>
        </w:rPr>
      </w:pPr>
      <w:r w:rsidRPr="00171C2D">
        <w:rPr>
          <w:rFonts w:ascii="Avenir" w:eastAsia="Avenir" w:hAnsi="Avenir" w:cs="Avenir"/>
          <w:b/>
          <w:bCs/>
          <w:iCs/>
          <w:lang w:val="en-GB"/>
        </w:rPr>
        <w:t>Figure 7: The distribution of spend across the ‘</w:t>
      </w:r>
      <w:r w:rsidR="00A11238" w:rsidRPr="00171C2D">
        <w:rPr>
          <w:rFonts w:ascii="Avenir" w:eastAsia="Avenir" w:hAnsi="Avenir" w:cs="Avenir"/>
          <w:b/>
          <w:bCs/>
          <w:iCs/>
        </w:rPr>
        <w:t>advertising</w:t>
      </w:r>
      <w:r w:rsidRPr="00171C2D">
        <w:rPr>
          <w:rFonts w:ascii="Avenir" w:eastAsia="Avenir" w:hAnsi="Avenir" w:cs="Avenir"/>
          <w:b/>
          <w:bCs/>
          <w:iCs/>
          <w:lang w:val="en-GB"/>
        </w:rPr>
        <w:t xml:space="preserve"> and press’ subcategories, UK General Election 2019</w:t>
      </w:r>
    </w:p>
    <w:p w14:paraId="66667680" w14:textId="5ADBDFE8" w:rsidR="00B556DE" w:rsidRDefault="000D6BB0" w:rsidP="00771EAF">
      <w:pPr>
        <w:rPr>
          <w:rFonts w:ascii="Avenir" w:eastAsia="Avenir" w:hAnsi="Avenir" w:cs="Avenir"/>
          <w:lang w:val="en-GB"/>
        </w:rPr>
      </w:pPr>
      <w:r w:rsidRPr="002B42EC">
        <w:rPr>
          <w:i/>
          <w:iCs/>
          <w:noProof/>
        </w:rPr>
        <w:drawing>
          <wp:anchor distT="0" distB="0" distL="114300" distR="114300" simplePos="0" relativeHeight="251657216" behindDoc="0" locked="0" layoutInCell="1" allowOverlap="1" wp14:anchorId="73E48578" wp14:editId="5555B12C">
            <wp:simplePos x="914400" y="5385460"/>
            <wp:positionH relativeFrom="column">
              <wp:align>left</wp:align>
            </wp:positionH>
            <wp:positionV relativeFrom="paragraph">
              <wp:align>top</wp:align>
            </wp:positionV>
            <wp:extent cx="5943600" cy="3073400"/>
            <wp:effectExtent l="0" t="0" r="0" b="0"/>
            <wp:wrapSquare wrapText="bothSides"/>
            <wp:docPr id="7" name="image8.png"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8.png" descr="Chart"/>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5943600" cy="3073400"/>
                    </a:xfrm>
                    <a:prstGeom prst="rect">
                      <a:avLst/>
                    </a:prstGeom>
                  </pic:spPr>
                </pic:pic>
              </a:graphicData>
            </a:graphic>
          </wp:anchor>
        </w:drawing>
      </w:r>
      <w:r w:rsidR="002B42EC" w:rsidRPr="002B42EC">
        <w:rPr>
          <w:rFonts w:ascii="Avenir" w:eastAsia="Avenir" w:hAnsi="Avenir" w:cs="Avenir"/>
          <w:i/>
          <w:iCs/>
          <w:lang w:val="en-GB"/>
        </w:rPr>
        <w:t>Source</w:t>
      </w:r>
      <w:r w:rsidR="002B42EC">
        <w:rPr>
          <w:rFonts w:ascii="Avenir" w:eastAsia="Avenir" w:hAnsi="Avenir" w:cs="Avenir"/>
          <w:lang w:val="en-GB"/>
        </w:rPr>
        <w:t>:</w:t>
      </w:r>
      <w:r w:rsidR="00CD2046">
        <w:rPr>
          <w:rFonts w:ascii="Avenir" w:eastAsia="Avenir" w:hAnsi="Avenir" w:cs="Avenir"/>
          <w:lang w:val="en-GB"/>
        </w:rPr>
        <w:t xml:space="preserve"> Authors´ analysis of invoices returned to the Electoral Commission for the 2019 General Election.</w:t>
      </w:r>
    </w:p>
    <w:p w14:paraId="497527F3" w14:textId="77777777" w:rsidR="002B42EC" w:rsidRPr="00171C2D" w:rsidRDefault="002B42EC">
      <w:pPr>
        <w:jc w:val="both"/>
        <w:rPr>
          <w:rFonts w:ascii="Avenir" w:eastAsia="Avenir" w:hAnsi="Avenir" w:cs="Avenir"/>
          <w:lang w:val="en-GB"/>
        </w:rPr>
      </w:pPr>
    </w:p>
    <w:p w14:paraId="03DCF434" w14:textId="77777777" w:rsidR="00B556DE" w:rsidRPr="00171C2D" w:rsidRDefault="000D6BB0">
      <w:pPr>
        <w:jc w:val="both"/>
        <w:rPr>
          <w:rFonts w:ascii="Avenir" w:eastAsia="Avenir" w:hAnsi="Avenir" w:cs="Avenir"/>
          <w:lang w:val="en-GB"/>
        </w:rPr>
      </w:pPr>
      <w:r w:rsidRPr="00171C2D">
        <w:rPr>
          <w:rFonts w:ascii="Avenir" w:eastAsia="Avenir" w:hAnsi="Avenir" w:cs="Avenir"/>
          <w:lang w:val="en-GB"/>
        </w:rPr>
        <w:t>One major supplier of advertising was Facebook. Within the analysis, this company was only coded as supplying social media advertising, with invoices describing either the placement or messaging testing of adverts.</w:t>
      </w:r>
      <w:r w:rsidRPr="00171C2D">
        <w:rPr>
          <w:rStyle w:val="FootnoteAnchor"/>
          <w:rFonts w:ascii="Avenir" w:eastAsia="Avenir" w:hAnsi="Avenir" w:cs="Avenir"/>
          <w:lang w:val="en-GB"/>
        </w:rPr>
        <w:footnoteReference w:id="23"/>
      </w:r>
      <w:r w:rsidRPr="00171C2D">
        <w:rPr>
          <w:rFonts w:ascii="Avenir" w:eastAsia="Avenir" w:hAnsi="Avenir" w:cs="Avenir"/>
          <w:lang w:val="en-GB"/>
        </w:rPr>
        <w:t xml:space="preserve"> In contrast, in the Electoral Commission database, Facebook appeared under several categories, showing the inconsistency with which parties are currently applying coding categories and a need for EMBs to provide clearer guidance on how spending with this supplier should be declared. </w:t>
      </w:r>
    </w:p>
    <w:p w14:paraId="4E91315A" w14:textId="77777777" w:rsidR="00B556DE" w:rsidRPr="00171C2D" w:rsidRDefault="00B556DE">
      <w:pPr>
        <w:jc w:val="both"/>
        <w:rPr>
          <w:rFonts w:ascii="Avenir" w:eastAsia="Avenir" w:hAnsi="Avenir" w:cs="Avenir"/>
          <w:highlight w:val="white"/>
          <w:lang w:val="en-GB"/>
        </w:rPr>
      </w:pPr>
    </w:p>
    <w:p w14:paraId="331F27F5" w14:textId="0C8EAB8E" w:rsidR="00B556DE" w:rsidRPr="00171C2D" w:rsidRDefault="000D6BB0">
      <w:pPr>
        <w:jc w:val="both"/>
        <w:rPr>
          <w:rFonts w:ascii="Avenir" w:eastAsia="Avenir" w:hAnsi="Avenir" w:cs="Avenir"/>
          <w:highlight w:val="white"/>
          <w:lang w:val="en-GB"/>
        </w:rPr>
      </w:pPr>
      <w:r w:rsidRPr="00171C2D">
        <w:rPr>
          <w:rFonts w:ascii="Avenir" w:eastAsia="Avenir" w:hAnsi="Avenir" w:cs="Avenir"/>
          <w:highlight w:val="white"/>
          <w:lang w:val="en-GB"/>
        </w:rPr>
        <w:t>Considerations for the UK Electoral Commission include:</w:t>
      </w:r>
    </w:p>
    <w:p w14:paraId="10F4FFFE" w14:textId="2F069843" w:rsidR="00B556DE" w:rsidRPr="00171C2D" w:rsidRDefault="000D6BB0" w:rsidP="00A11238">
      <w:pPr>
        <w:numPr>
          <w:ilvl w:val="0"/>
          <w:numId w:val="50"/>
        </w:numPr>
        <w:jc w:val="both"/>
        <w:rPr>
          <w:rFonts w:ascii="Avenir" w:eastAsia="Avenir" w:hAnsi="Avenir" w:cs="Avenir"/>
          <w:lang w:val="en-GB"/>
        </w:rPr>
      </w:pPr>
      <w:r w:rsidRPr="00171C2D">
        <w:rPr>
          <w:rFonts w:ascii="Avenir" w:eastAsia="Avenir" w:hAnsi="Avenir" w:cs="Avenir"/>
          <w:lang w:val="en-GB"/>
        </w:rPr>
        <w:t>Provide clearer guidance and examples of which activities fall under which categories, specifically in relation to technology and data infrastructure.</w:t>
      </w:r>
      <w:bookmarkStart w:id="9" w:name="_Hlk98171079"/>
      <w:bookmarkEnd w:id="9"/>
    </w:p>
    <w:p w14:paraId="220D713E" w14:textId="77777777" w:rsidR="00B556DE" w:rsidRPr="00171C2D" w:rsidRDefault="000D6BB0">
      <w:pPr>
        <w:pStyle w:val="Heading4"/>
        <w:rPr>
          <w:color w:val="auto"/>
          <w:lang w:val="en-GB"/>
        </w:rPr>
      </w:pPr>
      <w:r w:rsidRPr="00171C2D">
        <w:rPr>
          <w:color w:val="auto"/>
          <w:lang w:val="en-GB"/>
        </w:rPr>
        <w:t>Campaign materials</w:t>
      </w:r>
    </w:p>
    <w:p w14:paraId="78BE1350" w14:textId="7A4F9918" w:rsidR="00B556DE" w:rsidRPr="00171C2D" w:rsidRDefault="000D6BB0">
      <w:pPr>
        <w:jc w:val="both"/>
        <w:rPr>
          <w:rFonts w:ascii="Avenir" w:eastAsia="Avenir" w:hAnsi="Avenir" w:cs="Avenir"/>
          <w:highlight w:val="white"/>
          <w:lang w:val="en-GB"/>
        </w:rPr>
      </w:pPr>
      <w:r w:rsidRPr="00171C2D">
        <w:rPr>
          <w:rFonts w:ascii="Avenir" w:eastAsia="Avenir" w:hAnsi="Avenir" w:cs="Avenir"/>
          <w:highlight w:val="white"/>
          <w:lang w:val="en-GB"/>
        </w:rPr>
        <w:t xml:space="preserve">While online and social media advertising appears to be an important campaign activity, the research team’s coding also shows that by far and away the largest proportion of campaign spend is devoted to campaign materials. Indeed, the analysis shows that </w:t>
      </w:r>
      <w:r w:rsidR="009014F3">
        <w:rPr>
          <w:rFonts w:ascii="Avenir" w:eastAsia="Avenir" w:hAnsi="Avenir" w:cs="Avenir"/>
          <w:highlight w:val="white"/>
          <w:lang w:val="en-GB"/>
        </w:rPr>
        <w:t>GBP </w:t>
      </w:r>
      <w:r w:rsidRPr="00171C2D">
        <w:rPr>
          <w:rFonts w:ascii="Avenir" w:eastAsia="Avenir" w:hAnsi="Avenir" w:cs="Avenir"/>
          <w:highlight w:val="white"/>
          <w:lang w:val="en-GB"/>
        </w:rPr>
        <w:t>22,261,734 of spending fell into this category, accounting for 47.6 per</w:t>
      </w:r>
      <w:r w:rsidR="0016651A">
        <w:rPr>
          <w:rFonts w:ascii="Avenir" w:eastAsia="Avenir" w:hAnsi="Avenir" w:cs="Avenir"/>
          <w:highlight w:val="white"/>
          <w:lang w:val="en-GB"/>
        </w:rPr>
        <w:t xml:space="preserve"> </w:t>
      </w:r>
      <w:r w:rsidRPr="00171C2D">
        <w:rPr>
          <w:rFonts w:ascii="Avenir" w:eastAsia="Avenir" w:hAnsi="Avenir" w:cs="Avenir"/>
          <w:highlight w:val="white"/>
          <w:lang w:val="en-GB"/>
        </w:rPr>
        <w:t xml:space="preserve">cent of the total election spend analysed in this project. </w:t>
      </w:r>
      <w:r w:rsidR="007E20B9" w:rsidRPr="00171C2D">
        <w:rPr>
          <w:rFonts w:ascii="Avenir" w:eastAsia="Avenir" w:hAnsi="Avenir" w:cs="Avenir"/>
          <w:highlight w:val="white"/>
          <w:lang w:val="en-GB"/>
        </w:rPr>
        <w:t>The</w:t>
      </w:r>
      <w:r w:rsidRPr="00171C2D">
        <w:rPr>
          <w:rFonts w:ascii="Avenir" w:eastAsia="Avenir" w:hAnsi="Avenir" w:cs="Avenir"/>
          <w:highlight w:val="white"/>
          <w:lang w:val="en-GB"/>
        </w:rPr>
        <w:t xml:space="preserve"> research team identified six subcategories (see Table 6).</w:t>
      </w:r>
    </w:p>
    <w:p w14:paraId="2EF7E251" w14:textId="77777777" w:rsidR="00B556DE" w:rsidRPr="00171C2D" w:rsidRDefault="00B556DE">
      <w:pPr>
        <w:jc w:val="both"/>
        <w:rPr>
          <w:rFonts w:ascii="Avenir" w:eastAsia="Avenir" w:hAnsi="Avenir" w:cs="Avenir"/>
          <w:highlight w:val="white"/>
          <w:lang w:val="en-GB"/>
        </w:rPr>
      </w:pPr>
    </w:p>
    <w:p w14:paraId="76B219CF" w14:textId="78A9EC0C" w:rsidR="00B556DE" w:rsidRPr="00171C2D" w:rsidRDefault="000D6BB0">
      <w:pPr>
        <w:jc w:val="both"/>
        <w:rPr>
          <w:rFonts w:ascii="Avenir" w:eastAsia="Avenir" w:hAnsi="Avenir" w:cs="Avenir"/>
          <w:b/>
          <w:bCs/>
          <w:iCs/>
          <w:highlight w:val="white"/>
          <w:lang w:val="en-GB"/>
        </w:rPr>
      </w:pPr>
      <w:r w:rsidRPr="00171C2D">
        <w:rPr>
          <w:rFonts w:ascii="Avenir" w:eastAsia="Avenir" w:hAnsi="Avenir" w:cs="Avenir"/>
          <w:b/>
          <w:bCs/>
          <w:iCs/>
          <w:lang w:val="en-GB"/>
        </w:rPr>
        <w:t>Table 6: Subcategories for the ‘campaign materials’ category, UK General Election 2019</w:t>
      </w:r>
    </w:p>
    <w:tbl>
      <w:tblPr>
        <w:tblW w:w="9360" w:type="dxa"/>
        <w:tblCellMar>
          <w:top w:w="100" w:type="dxa"/>
          <w:left w:w="100" w:type="dxa"/>
          <w:bottom w:w="100" w:type="dxa"/>
          <w:right w:w="100" w:type="dxa"/>
        </w:tblCellMar>
        <w:tblLook w:val="0600" w:firstRow="0" w:lastRow="0" w:firstColumn="0" w:lastColumn="0" w:noHBand="1" w:noVBand="1"/>
      </w:tblPr>
      <w:tblGrid>
        <w:gridCol w:w="2620"/>
        <w:gridCol w:w="4931"/>
        <w:gridCol w:w="1809"/>
      </w:tblGrid>
      <w:tr w:rsidR="00171C2D" w:rsidRPr="00171C2D" w14:paraId="3B1E51C7" w14:textId="77777777" w:rsidTr="00CD2046">
        <w:tc>
          <w:tcPr>
            <w:tcW w:w="2620" w:type="dxa"/>
            <w:tcBorders>
              <w:top w:val="single" w:sz="8" w:space="0" w:color="000000"/>
              <w:left w:val="single" w:sz="8" w:space="0" w:color="000000"/>
              <w:bottom w:val="single" w:sz="8" w:space="0" w:color="000000"/>
              <w:right w:val="single" w:sz="8" w:space="0" w:color="000000"/>
            </w:tcBorders>
            <w:shd w:val="clear" w:color="auto" w:fill="auto"/>
          </w:tcPr>
          <w:p w14:paraId="57EC158C" w14:textId="77777777" w:rsidR="00B556DE" w:rsidRPr="00171C2D" w:rsidRDefault="000D6BB0">
            <w:pPr>
              <w:widowControl w:val="0"/>
              <w:spacing w:line="240" w:lineRule="auto"/>
              <w:rPr>
                <w:rFonts w:ascii="Avenir" w:eastAsia="Avenir" w:hAnsi="Avenir" w:cs="Avenir"/>
                <w:b/>
                <w:sz w:val="20"/>
                <w:szCs w:val="20"/>
                <w:lang w:val="en-GB"/>
              </w:rPr>
            </w:pPr>
            <w:r w:rsidRPr="00171C2D">
              <w:rPr>
                <w:rFonts w:ascii="Avenir" w:eastAsia="Avenir" w:hAnsi="Avenir" w:cs="Avenir"/>
                <w:b/>
                <w:sz w:val="20"/>
                <w:szCs w:val="20"/>
                <w:lang w:val="en-GB"/>
              </w:rPr>
              <w:t>Campaign materials</w:t>
            </w:r>
          </w:p>
        </w:tc>
        <w:tc>
          <w:tcPr>
            <w:tcW w:w="4931" w:type="dxa"/>
            <w:tcBorders>
              <w:top w:val="single" w:sz="8" w:space="0" w:color="000000"/>
              <w:left w:val="single" w:sz="8" w:space="0" w:color="000000"/>
              <w:bottom w:val="single" w:sz="8" w:space="0" w:color="000000"/>
              <w:right w:val="single" w:sz="8" w:space="0" w:color="000000"/>
            </w:tcBorders>
            <w:shd w:val="clear" w:color="auto" w:fill="auto"/>
          </w:tcPr>
          <w:p w14:paraId="170376D3" w14:textId="77777777" w:rsidR="00B556DE" w:rsidRPr="00171C2D" w:rsidRDefault="000D6BB0">
            <w:pPr>
              <w:widowControl w:val="0"/>
              <w:spacing w:line="240" w:lineRule="auto"/>
              <w:rPr>
                <w:rFonts w:ascii="Avenir" w:eastAsia="Avenir" w:hAnsi="Avenir" w:cs="Avenir"/>
                <w:b/>
                <w:sz w:val="20"/>
                <w:szCs w:val="20"/>
                <w:lang w:val="en-GB"/>
              </w:rPr>
            </w:pPr>
            <w:r w:rsidRPr="00171C2D">
              <w:rPr>
                <w:rFonts w:ascii="Avenir" w:eastAsia="Avenir" w:hAnsi="Avenir" w:cs="Avenir"/>
                <w:b/>
                <w:sz w:val="20"/>
                <w:szCs w:val="20"/>
                <w:lang w:val="en-GB"/>
              </w:rPr>
              <w:t>Invoices which referred to the physical objects used for campaigning, or tangible events (</w:t>
            </w:r>
            <w:proofErr w:type="gramStart"/>
            <w:r w:rsidRPr="00171C2D">
              <w:rPr>
                <w:rFonts w:ascii="Avenir" w:eastAsia="Avenir" w:hAnsi="Avenir" w:cs="Avenir"/>
                <w:b/>
                <w:sz w:val="20"/>
                <w:szCs w:val="20"/>
                <w:lang w:val="en-GB"/>
              </w:rPr>
              <w:t>e.g.</w:t>
            </w:r>
            <w:proofErr w:type="gramEnd"/>
            <w:r w:rsidRPr="00171C2D">
              <w:rPr>
                <w:rFonts w:ascii="Avenir" w:eastAsia="Avenir" w:hAnsi="Avenir" w:cs="Avenir"/>
                <w:b/>
                <w:sz w:val="20"/>
                <w:szCs w:val="20"/>
                <w:lang w:val="en-GB"/>
              </w:rPr>
              <w:t xml:space="preserve"> rallies) or processes (e.g. mailing leaflets) related to campaigning more generally. This category has six subcategories.</w:t>
            </w:r>
          </w:p>
        </w:tc>
        <w:tc>
          <w:tcPr>
            <w:tcW w:w="1809" w:type="dxa"/>
            <w:tcBorders>
              <w:top w:val="single" w:sz="8" w:space="0" w:color="000000"/>
              <w:left w:val="single" w:sz="8" w:space="0" w:color="000000"/>
              <w:bottom w:val="single" w:sz="8" w:space="0" w:color="000000"/>
              <w:right w:val="single" w:sz="8" w:space="0" w:color="000000"/>
            </w:tcBorders>
            <w:shd w:val="clear" w:color="auto" w:fill="auto"/>
          </w:tcPr>
          <w:p w14:paraId="7AF243C2" w14:textId="031C88C3" w:rsidR="00B556DE" w:rsidRPr="00171C2D" w:rsidRDefault="000D6BB0">
            <w:pPr>
              <w:widowControl w:val="0"/>
              <w:spacing w:line="240" w:lineRule="auto"/>
              <w:rPr>
                <w:rFonts w:ascii="Avenir" w:eastAsia="Avenir" w:hAnsi="Avenir" w:cs="Avenir"/>
                <w:b/>
                <w:sz w:val="20"/>
                <w:szCs w:val="20"/>
                <w:lang w:val="en-GB"/>
              </w:rPr>
            </w:pPr>
            <w:proofErr w:type="gramStart"/>
            <w:r w:rsidRPr="00171C2D">
              <w:rPr>
                <w:rFonts w:ascii="Avenir" w:eastAsia="Avenir" w:hAnsi="Avenir" w:cs="Avenir"/>
                <w:b/>
                <w:sz w:val="20"/>
                <w:szCs w:val="20"/>
                <w:lang w:val="en-GB"/>
              </w:rPr>
              <w:t>Total</w:t>
            </w:r>
            <w:proofErr w:type="gramEnd"/>
            <w:r w:rsidRPr="00171C2D">
              <w:rPr>
                <w:rFonts w:ascii="Avenir" w:eastAsia="Avenir" w:hAnsi="Avenir" w:cs="Avenir"/>
                <w:b/>
                <w:sz w:val="20"/>
                <w:szCs w:val="20"/>
                <w:lang w:val="en-GB"/>
              </w:rPr>
              <w:t xml:space="preserve"> spend: </w:t>
            </w:r>
            <w:r w:rsidR="009014F3">
              <w:rPr>
                <w:rFonts w:ascii="Avenir" w:eastAsia="Avenir" w:hAnsi="Avenir" w:cs="Avenir"/>
                <w:b/>
                <w:sz w:val="20"/>
                <w:szCs w:val="20"/>
                <w:lang w:val="en-GB"/>
              </w:rPr>
              <w:t>GBP </w:t>
            </w:r>
            <w:r w:rsidRPr="00171C2D">
              <w:rPr>
                <w:rFonts w:ascii="Avenir" w:eastAsia="Avenir" w:hAnsi="Avenir" w:cs="Avenir"/>
                <w:b/>
                <w:sz w:val="20"/>
                <w:szCs w:val="20"/>
                <w:lang w:val="en-GB"/>
              </w:rPr>
              <w:t>21,552,179</w:t>
            </w:r>
          </w:p>
        </w:tc>
      </w:tr>
      <w:tr w:rsidR="00171C2D" w:rsidRPr="00171C2D" w14:paraId="3B01390B" w14:textId="77777777" w:rsidTr="00CD2046">
        <w:tc>
          <w:tcPr>
            <w:tcW w:w="2620" w:type="dxa"/>
            <w:tcBorders>
              <w:top w:val="single" w:sz="8" w:space="0" w:color="000000"/>
              <w:left w:val="single" w:sz="8" w:space="0" w:color="000000"/>
              <w:bottom w:val="single" w:sz="8" w:space="0" w:color="000000"/>
              <w:right w:val="single" w:sz="8" w:space="0" w:color="000000"/>
            </w:tcBorders>
            <w:shd w:val="clear" w:color="auto" w:fill="auto"/>
          </w:tcPr>
          <w:p w14:paraId="15341324" w14:textId="77777777" w:rsidR="00B556DE" w:rsidRPr="00171C2D" w:rsidRDefault="000D6BB0" w:rsidP="002B42EC">
            <w:pPr>
              <w:widowControl w:val="0"/>
              <w:spacing w:line="240" w:lineRule="auto"/>
              <w:ind w:left="90"/>
              <w:rPr>
                <w:rFonts w:ascii="Avenir" w:eastAsia="Avenir" w:hAnsi="Avenir" w:cs="Avenir"/>
                <w:sz w:val="20"/>
                <w:szCs w:val="20"/>
                <w:lang w:val="en-GB"/>
              </w:rPr>
            </w:pPr>
            <w:r w:rsidRPr="00171C2D">
              <w:rPr>
                <w:rFonts w:ascii="Avenir" w:eastAsia="Avenir" w:hAnsi="Avenir" w:cs="Avenir"/>
                <w:sz w:val="20"/>
                <w:szCs w:val="20"/>
                <w:lang w:val="en-GB"/>
              </w:rPr>
              <w:t>Campaign materials</w:t>
            </w:r>
          </w:p>
        </w:tc>
        <w:tc>
          <w:tcPr>
            <w:tcW w:w="4931" w:type="dxa"/>
            <w:tcBorders>
              <w:top w:val="single" w:sz="8" w:space="0" w:color="000000"/>
              <w:left w:val="single" w:sz="8" w:space="0" w:color="000000"/>
              <w:bottom w:val="single" w:sz="8" w:space="0" w:color="000000"/>
              <w:right w:val="single" w:sz="8" w:space="0" w:color="000000"/>
            </w:tcBorders>
            <w:shd w:val="clear" w:color="auto" w:fill="auto"/>
          </w:tcPr>
          <w:p w14:paraId="09CF0960" w14:textId="77777777" w:rsidR="00B556DE" w:rsidRPr="00171C2D" w:rsidRDefault="000D6BB0">
            <w:pPr>
              <w:widowControl w:val="0"/>
              <w:spacing w:line="240" w:lineRule="auto"/>
              <w:rPr>
                <w:rFonts w:ascii="Avenir" w:eastAsia="Avenir" w:hAnsi="Avenir" w:cs="Avenir"/>
                <w:sz w:val="20"/>
                <w:szCs w:val="20"/>
                <w:lang w:val="en-GB"/>
              </w:rPr>
            </w:pPr>
            <w:r w:rsidRPr="00171C2D">
              <w:rPr>
                <w:rFonts w:ascii="Avenir" w:eastAsia="Avenir" w:hAnsi="Avenir" w:cs="Avenir"/>
                <w:sz w:val="20"/>
                <w:szCs w:val="20"/>
                <w:lang w:val="en-GB"/>
              </w:rPr>
              <w:t>Where services fell under the general category of ‘campaign materials’</w:t>
            </w:r>
          </w:p>
        </w:tc>
        <w:tc>
          <w:tcPr>
            <w:tcW w:w="1809" w:type="dxa"/>
            <w:tcBorders>
              <w:top w:val="single" w:sz="8" w:space="0" w:color="000000"/>
              <w:left w:val="single" w:sz="8" w:space="0" w:color="000000"/>
              <w:bottom w:val="single" w:sz="8" w:space="0" w:color="000000"/>
              <w:right w:val="single" w:sz="8" w:space="0" w:color="000000"/>
            </w:tcBorders>
            <w:shd w:val="clear" w:color="auto" w:fill="auto"/>
          </w:tcPr>
          <w:p w14:paraId="66A74B50" w14:textId="2D892953" w:rsidR="00B556DE" w:rsidRPr="00171C2D" w:rsidRDefault="009014F3">
            <w:pPr>
              <w:widowControl w:val="0"/>
              <w:spacing w:line="240" w:lineRule="auto"/>
              <w:rPr>
                <w:rFonts w:ascii="Avenir" w:eastAsia="Avenir" w:hAnsi="Avenir" w:cs="Avenir"/>
                <w:sz w:val="20"/>
                <w:szCs w:val="20"/>
                <w:lang w:val="en-GB"/>
              </w:rPr>
            </w:pPr>
            <w:r>
              <w:rPr>
                <w:rFonts w:ascii="Avenir" w:eastAsia="Avenir" w:hAnsi="Avenir" w:cs="Avenir"/>
                <w:sz w:val="20"/>
                <w:szCs w:val="20"/>
                <w:lang w:val="en-GB"/>
              </w:rPr>
              <w:t>GBP </w:t>
            </w:r>
            <w:r w:rsidR="000D6BB0" w:rsidRPr="00171C2D">
              <w:rPr>
                <w:rFonts w:ascii="Avenir" w:eastAsia="Avenir" w:hAnsi="Avenir" w:cs="Avenir"/>
                <w:sz w:val="20"/>
                <w:szCs w:val="20"/>
                <w:lang w:val="en-GB"/>
              </w:rPr>
              <w:t>50,357</w:t>
            </w:r>
          </w:p>
        </w:tc>
      </w:tr>
      <w:tr w:rsidR="00171C2D" w:rsidRPr="00171C2D" w14:paraId="3911B159" w14:textId="77777777" w:rsidTr="00CD2046">
        <w:trPr>
          <w:trHeight w:val="400"/>
        </w:trPr>
        <w:tc>
          <w:tcPr>
            <w:tcW w:w="2620" w:type="dxa"/>
            <w:tcBorders>
              <w:top w:val="single" w:sz="8" w:space="0" w:color="000000"/>
              <w:left w:val="single" w:sz="8" w:space="0" w:color="000000"/>
              <w:bottom w:val="single" w:sz="8" w:space="0" w:color="000000"/>
              <w:right w:val="single" w:sz="8" w:space="0" w:color="000000"/>
            </w:tcBorders>
            <w:shd w:val="clear" w:color="auto" w:fill="auto"/>
          </w:tcPr>
          <w:p w14:paraId="38F633F0" w14:textId="77777777" w:rsidR="00B556DE" w:rsidRPr="00171C2D" w:rsidRDefault="000D6BB0" w:rsidP="002B42EC">
            <w:pPr>
              <w:widowControl w:val="0"/>
              <w:spacing w:line="240" w:lineRule="auto"/>
              <w:ind w:left="90"/>
              <w:rPr>
                <w:rFonts w:ascii="Avenir" w:eastAsia="Avenir" w:hAnsi="Avenir" w:cs="Avenir"/>
                <w:sz w:val="20"/>
                <w:szCs w:val="20"/>
                <w:lang w:val="en-GB"/>
              </w:rPr>
            </w:pPr>
            <w:r w:rsidRPr="00171C2D">
              <w:rPr>
                <w:rFonts w:ascii="Avenir" w:eastAsia="Avenir" w:hAnsi="Avenir" w:cs="Avenir"/>
                <w:sz w:val="20"/>
                <w:szCs w:val="20"/>
                <w:lang w:val="en-GB"/>
              </w:rPr>
              <w:t>Design services</w:t>
            </w:r>
          </w:p>
        </w:tc>
        <w:tc>
          <w:tcPr>
            <w:tcW w:w="4931" w:type="dxa"/>
            <w:tcBorders>
              <w:top w:val="single" w:sz="8" w:space="0" w:color="000000"/>
              <w:left w:val="single" w:sz="8" w:space="0" w:color="000000"/>
              <w:bottom w:val="single" w:sz="8" w:space="0" w:color="000000"/>
              <w:right w:val="single" w:sz="8" w:space="0" w:color="000000"/>
            </w:tcBorders>
            <w:shd w:val="clear" w:color="auto" w:fill="auto"/>
          </w:tcPr>
          <w:p w14:paraId="583348F7" w14:textId="77777777" w:rsidR="00B556DE" w:rsidRPr="00171C2D" w:rsidRDefault="000D6BB0">
            <w:pPr>
              <w:jc w:val="both"/>
              <w:rPr>
                <w:rFonts w:ascii="Avenir" w:eastAsia="Avenir" w:hAnsi="Avenir" w:cs="Avenir"/>
                <w:sz w:val="20"/>
                <w:szCs w:val="20"/>
                <w:lang w:val="en-GB"/>
              </w:rPr>
            </w:pPr>
            <w:r w:rsidRPr="00171C2D">
              <w:rPr>
                <w:rFonts w:ascii="Avenir" w:eastAsia="Avenir" w:hAnsi="Avenir" w:cs="Avenir"/>
                <w:sz w:val="20"/>
                <w:szCs w:val="20"/>
                <w:lang w:val="en-GB"/>
              </w:rPr>
              <w:t xml:space="preserve">Design of resources, such as leaflets, </w:t>
            </w:r>
            <w:proofErr w:type="gramStart"/>
            <w:r w:rsidRPr="00171C2D">
              <w:rPr>
                <w:rFonts w:ascii="Avenir" w:eastAsia="Avenir" w:hAnsi="Avenir" w:cs="Avenir"/>
                <w:sz w:val="20"/>
                <w:szCs w:val="20"/>
                <w:lang w:val="en-GB"/>
              </w:rPr>
              <w:t>manifestos</w:t>
            </w:r>
            <w:proofErr w:type="gramEnd"/>
            <w:r w:rsidRPr="00171C2D">
              <w:rPr>
                <w:rFonts w:ascii="Avenir" w:eastAsia="Avenir" w:hAnsi="Avenir" w:cs="Avenir"/>
                <w:sz w:val="20"/>
                <w:szCs w:val="20"/>
                <w:lang w:val="en-GB"/>
              </w:rPr>
              <w:t xml:space="preserve"> or other mentions of ‘design’ work</w:t>
            </w:r>
          </w:p>
        </w:tc>
        <w:tc>
          <w:tcPr>
            <w:tcW w:w="1809" w:type="dxa"/>
            <w:tcBorders>
              <w:top w:val="single" w:sz="8" w:space="0" w:color="000000"/>
              <w:left w:val="single" w:sz="8" w:space="0" w:color="000000"/>
              <w:bottom w:val="single" w:sz="8" w:space="0" w:color="000000"/>
              <w:right w:val="single" w:sz="8" w:space="0" w:color="000000"/>
            </w:tcBorders>
            <w:shd w:val="clear" w:color="auto" w:fill="auto"/>
          </w:tcPr>
          <w:p w14:paraId="42831036" w14:textId="4C37BA16" w:rsidR="00B556DE" w:rsidRPr="00171C2D" w:rsidRDefault="009014F3">
            <w:pPr>
              <w:widowControl w:val="0"/>
              <w:spacing w:line="240" w:lineRule="auto"/>
              <w:rPr>
                <w:rFonts w:ascii="Avenir" w:eastAsia="Avenir" w:hAnsi="Avenir" w:cs="Avenir"/>
                <w:sz w:val="20"/>
                <w:szCs w:val="20"/>
                <w:lang w:val="en-GB"/>
              </w:rPr>
            </w:pPr>
            <w:r>
              <w:rPr>
                <w:rFonts w:ascii="Avenir" w:eastAsia="Avenir" w:hAnsi="Avenir" w:cs="Avenir"/>
                <w:sz w:val="20"/>
                <w:szCs w:val="20"/>
                <w:lang w:val="en-GB"/>
              </w:rPr>
              <w:t>GBP </w:t>
            </w:r>
            <w:r w:rsidR="000D6BB0" w:rsidRPr="00171C2D">
              <w:rPr>
                <w:rFonts w:ascii="Avenir" w:eastAsia="Avenir" w:hAnsi="Avenir" w:cs="Avenir"/>
                <w:sz w:val="20"/>
                <w:szCs w:val="20"/>
                <w:lang w:val="en-GB"/>
              </w:rPr>
              <w:t>75,208</w:t>
            </w:r>
          </w:p>
        </w:tc>
      </w:tr>
      <w:tr w:rsidR="00171C2D" w:rsidRPr="00171C2D" w14:paraId="2CBA31A0" w14:textId="77777777" w:rsidTr="00CD2046">
        <w:trPr>
          <w:trHeight w:val="400"/>
        </w:trPr>
        <w:tc>
          <w:tcPr>
            <w:tcW w:w="2620" w:type="dxa"/>
            <w:tcBorders>
              <w:top w:val="single" w:sz="8" w:space="0" w:color="000000"/>
              <w:left w:val="single" w:sz="8" w:space="0" w:color="000000"/>
              <w:bottom w:val="single" w:sz="8" w:space="0" w:color="000000"/>
              <w:right w:val="single" w:sz="8" w:space="0" w:color="000000"/>
            </w:tcBorders>
            <w:shd w:val="clear" w:color="auto" w:fill="auto"/>
          </w:tcPr>
          <w:p w14:paraId="76CD72FA" w14:textId="77777777" w:rsidR="00B556DE" w:rsidRPr="00171C2D" w:rsidRDefault="000D6BB0" w:rsidP="002B42EC">
            <w:pPr>
              <w:widowControl w:val="0"/>
              <w:spacing w:line="240" w:lineRule="auto"/>
              <w:ind w:left="90"/>
              <w:rPr>
                <w:rFonts w:ascii="Avenir" w:eastAsia="Avenir" w:hAnsi="Avenir" w:cs="Avenir"/>
                <w:sz w:val="20"/>
                <w:szCs w:val="20"/>
                <w:lang w:val="en-GB"/>
              </w:rPr>
            </w:pPr>
            <w:r w:rsidRPr="00171C2D">
              <w:rPr>
                <w:rFonts w:ascii="Avenir" w:eastAsia="Avenir" w:hAnsi="Avenir" w:cs="Avenir"/>
                <w:sz w:val="20"/>
                <w:szCs w:val="20"/>
                <w:lang w:val="en-GB"/>
              </w:rPr>
              <w:t>Campaign material printing</w:t>
            </w:r>
          </w:p>
        </w:tc>
        <w:tc>
          <w:tcPr>
            <w:tcW w:w="4931" w:type="dxa"/>
            <w:tcBorders>
              <w:top w:val="single" w:sz="8" w:space="0" w:color="000000"/>
              <w:left w:val="single" w:sz="8" w:space="0" w:color="000000"/>
              <w:bottom w:val="single" w:sz="8" w:space="0" w:color="000000"/>
              <w:right w:val="single" w:sz="8" w:space="0" w:color="000000"/>
            </w:tcBorders>
            <w:shd w:val="clear" w:color="auto" w:fill="auto"/>
          </w:tcPr>
          <w:p w14:paraId="42C0E43F" w14:textId="77777777" w:rsidR="00B556DE" w:rsidRPr="00171C2D" w:rsidRDefault="000D6BB0">
            <w:pPr>
              <w:widowControl w:val="0"/>
              <w:spacing w:line="240" w:lineRule="auto"/>
              <w:rPr>
                <w:rFonts w:ascii="Avenir" w:eastAsia="Avenir" w:hAnsi="Avenir" w:cs="Avenir"/>
                <w:sz w:val="20"/>
                <w:szCs w:val="20"/>
                <w:lang w:val="en-GB"/>
              </w:rPr>
            </w:pPr>
            <w:r w:rsidRPr="00171C2D">
              <w:rPr>
                <w:rFonts w:ascii="Avenir" w:eastAsia="Avenir" w:hAnsi="Avenir" w:cs="Avenir"/>
                <w:sz w:val="20"/>
                <w:szCs w:val="20"/>
                <w:lang w:val="en-GB"/>
              </w:rPr>
              <w:t xml:space="preserve">Printing of materials containing information about the campaign itself (such as leaflets, poster boards and </w:t>
            </w:r>
            <w:proofErr w:type="spellStart"/>
            <w:r w:rsidRPr="00171C2D">
              <w:rPr>
                <w:rFonts w:ascii="Avenir" w:eastAsia="Avenir" w:hAnsi="Avenir" w:cs="Avenir"/>
                <w:sz w:val="20"/>
                <w:szCs w:val="20"/>
                <w:lang w:val="en-GB"/>
              </w:rPr>
              <w:t>correx</w:t>
            </w:r>
            <w:proofErr w:type="spellEnd"/>
            <w:r w:rsidRPr="00171C2D">
              <w:rPr>
                <w:rFonts w:ascii="Avenir" w:eastAsia="Avenir" w:hAnsi="Avenir" w:cs="Avenir"/>
                <w:sz w:val="20"/>
                <w:szCs w:val="20"/>
                <w:lang w:val="en-GB"/>
              </w:rPr>
              <w:t xml:space="preserve"> boards). Payment for the photocopying of leaflets is also included in this subcategory</w:t>
            </w:r>
          </w:p>
        </w:tc>
        <w:tc>
          <w:tcPr>
            <w:tcW w:w="1809" w:type="dxa"/>
            <w:tcBorders>
              <w:top w:val="single" w:sz="8" w:space="0" w:color="000000"/>
              <w:left w:val="single" w:sz="8" w:space="0" w:color="000000"/>
              <w:bottom w:val="single" w:sz="8" w:space="0" w:color="000000"/>
              <w:right w:val="single" w:sz="8" w:space="0" w:color="000000"/>
            </w:tcBorders>
            <w:shd w:val="clear" w:color="auto" w:fill="auto"/>
          </w:tcPr>
          <w:p w14:paraId="7D010F70" w14:textId="199AF809" w:rsidR="00B556DE" w:rsidRPr="00171C2D" w:rsidRDefault="009014F3">
            <w:pPr>
              <w:widowControl w:val="0"/>
              <w:spacing w:line="240" w:lineRule="auto"/>
              <w:rPr>
                <w:rFonts w:ascii="Avenir" w:eastAsia="Avenir" w:hAnsi="Avenir" w:cs="Avenir"/>
                <w:sz w:val="20"/>
                <w:szCs w:val="20"/>
                <w:lang w:val="en-GB"/>
              </w:rPr>
            </w:pPr>
            <w:r>
              <w:rPr>
                <w:rFonts w:ascii="Avenir" w:eastAsia="Avenir" w:hAnsi="Avenir" w:cs="Avenir"/>
                <w:sz w:val="20"/>
                <w:szCs w:val="20"/>
                <w:lang w:val="en-GB"/>
              </w:rPr>
              <w:t>GBP </w:t>
            </w:r>
            <w:r w:rsidR="000D6BB0" w:rsidRPr="00171C2D">
              <w:rPr>
                <w:rFonts w:ascii="Avenir" w:eastAsia="Avenir" w:hAnsi="Avenir" w:cs="Avenir"/>
                <w:sz w:val="20"/>
                <w:szCs w:val="20"/>
                <w:lang w:val="en-GB"/>
              </w:rPr>
              <w:t>9,050,63</w:t>
            </w:r>
          </w:p>
        </w:tc>
      </w:tr>
      <w:tr w:rsidR="00171C2D" w:rsidRPr="00171C2D" w14:paraId="5B830E6E" w14:textId="77777777" w:rsidTr="00CD2046">
        <w:trPr>
          <w:trHeight w:val="400"/>
        </w:trPr>
        <w:tc>
          <w:tcPr>
            <w:tcW w:w="2620" w:type="dxa"/>
            <w:tcBorders>
              <w:top w:val="single" w:sz="8" w:space="0" w:color="000000"/>
              <w:left w:val="single" w:sz="8" w:space="0" w:color="000000"/>
              <w:bottom w:val="single" w:sz="8" w:space="0" w:color="000000"/>
              <w:right w:val="single" w:sz="8" w:space="0" w:color="000000"/>
            </w:tcBorders>
            <w:shd w:val="clear" w:color="auto" w:fill="auto"/>
          </w:tcPr>
          <w:p w14:paraId="7E0E9D5D" w14:textId="49EC3109" w:rsidR="00B556DE" w:rsidRPr="00171C2D" w:rsidRDefault="000D6BB0" w:rsidP="002B42EC">
            <w:pPr>
              <w:widowControl w:val="0"/>
              <w:spacing w:line="240" w:lineRule="auto"/>
              <w:ind w:left="90"/>
              <w:rPr>
                <w:rFonts w:ascii="Avenir" w:eastAsia="Avenir" w:hAnsi="Avenir" w:cs="Avenir"/>
                <w:sz w:val="20"/>
                <w:szCs w:val="20"/>
                <w:lang w:val="en-GB"/>
              </w:rPr>
            </w:pPr>
            <w:r w:rsidRPr="00171C2D">
              <w:rPr>
                <w:rFonts w:ascii="Avenir" w:eastAsia="Avenir" w:hAnsi="Avenir" w:cs="Avenir"/>
                <w:sz w:val="20"/>
                <w:szCs w:val="20"/>
                <w:lang w:val="en-GB"/>
              </w:rPr>
              <w:t>Paid leaflet delivery/postage</w:t>
            </w:r>
          </w:p>
        </w:tc>
        <w:tc>
          <w:tcPr>
            <w:tcW w:w="4931" w:type="dxa"/>
            <w:tcBorders>
              <w:top w:val="single" w:sz="8" w:space="0" w:color="000000"/>
              <w:left w:val="single" w:sz="8" w:space="0" w:color="000000"/>
              <w:bottom w:val="single" w:sz="8" w:space="0" w:color="000000"/>
              <w:right w:val="single" w:sz="8" w:space="0" w:color="000000"/>
            </w:tcBorders>
            <w:shd w:val="clear" w:color="auto" w:fill="auto"/>
          </w:tcPr>
          <w:p w14:paraId="11B7FB9D" w14:textId="77777777" w:rsidR="00B556DE" w:rsidRPr="00171C2D" w:rsidRDefault="000D6BB0">
            <w:pPr>
              <w:widowControl w:val="0"/>
              <w:spacing w:line="240" w:lineRule="auto"/>
              <w:rPr>
                <w:rFonts w:ascii="Avenir" w:eastAsia="Avenir" w:hAnsi="Avenir" w:cs="Avenir"/>
                <w:sz w:val="20"/>
                <w:szCs w:val="20"/>
                <w:lang w:val="en-GB"/>
              </w:rPr>
            </w:pPr>
            <w:r w:rsidRPr="00171C2D">
              <w:rPr>
                <w:rFonts w:ascii="Avenir" w:eastAsia="Avenir" w:hAnsi="Avenir" w:cs="Avenir"/>
                <w:sz w:val="20"/>
                <w:szCs w:val="20"/>
                <w:lang w:val="en-GB"/>
              </w:rPr>
              <w:t>Delivery of a tranche of materials to specific addresses. This subcategory did not include general delivery of goods/campaign materials to constituency offices or campaigners’ addresses</w:t>
            </w:r>
          </w:p>
        </w:tc>
        <w:tc>
          <w:tcPr>
            <w:tcW w:w="1809" w:type="dxa"/>
            <w:tcBorders>
              <w:top w:val="single" w:sz="8" w:space="0" w:color="000000"/>
              <w:left w:val="single" w:sz="8" w:space="0" w:color="000000"/>
              <w:bottom w:val="single" w:sz="8" w:space="0" w:color="000000"/>
              <w:right w:val="single" w:sz="8" w:space="0" w:color="000000"/>
            </w:tcBorders>
            <w:shd w:val="clear" w:color="auto" w:fill="auto"/>
          </w:tcPr>
          <w:p w14:paraId="5A3C6F34" w14:textId="1470FB4A" w:rsidR="00B556DE" w:rsidRPr="00171C2D" w:rsidRDefault="009014F3">
            <w:pPr>
              <w:widowControl w:val="0"/>
              <w:spacing w:line="240" w:lineRule="auto"/>
              <w:rPr>
                <w:rFonts w:ascii="Avenir" w:eastAsia="Avenir" w:hAnsi="Avenir" w:cs="Avenir"/>
                <w:sz w:val="20"/>
                <w:szCs w:val="20"/>
                <w:lang w:val="en-GB"/>
              </w:rPr>
            </w:pPr>
            <w:r>
              <w:rPr>
                <w:rFonts w:ascii="Avenir" w:eastAsia="Avenir" w:hAnsi="Avenir" w:cs="Avenir"/>
                <w:sz w:val="20"/>
                <w:szCs w:val="20"/>
                <w:lang w:val="en-GB"/>
              </w:rPr>
              <w:t>GBP </w:t>
            </w:r>
            <w:r w:rsidR="000D6BB0" w:rsidRPr="00171C2D">
              <w:rPr>
                <w:rFonts w:ascii="Avenir" w:eastAsia="Avenir" w:hAnsi="Avenir" w:cs="Avenir"/>
                <w:sz w:val="20"/>
                <w:szCs w:val="20"/>
                <w:lang w:val="en-GB"/>
              </w:rPr>
              <w:t>10,665,842</w:t>
            </w:r>
          </w:p>
        </w:tc>
      </w:tr>
      <w:tr w:rsidR="00171C2D" w:rsidRPr="00171C2D" w14:paraId="3D2BB42C" w14:textId="77777777" w:rsidTr="00CD2046">
        <w:trPr>
          <w:trHeight w:val="400"/>
        </w:trPr>
        <w:tc>
          <w:tcPr>
            <w:tcW w:w="2620" w:type="dxa"/>
            <w:tcBorders>
              <w:top w:val="single" w:sz="8" w:space="0" w:color="000000"/>
              <w:left w:val="single" w:sz="8" w:space="0" w:color="000000"/>
              <w:bottom w:val="single" w:sz="8" w:space="0" w:color="000000"/>
              <w:right w:val="single" w:sz="8" w:space="0" w:color="000000"/>
            </w:tcBorders>
            <w:shd w:val="clear" w:color="auto" w:fill="auto"/>
          </w:tcPr>
          <w:p w14:paraId="4DCD8B6B" w14:textId="05221012" w:rsidR="00B556DE" w:rsidRPr="00171C2D" w:rsidRDefault="000D6BB0" w:rsidP="002B42EC">
            <w:pPr>
              <w:widowControl w:val="0"/>
              <w:spacing w:line="240" w:lineRule="auto"/>
              <w:ind w:left="90"/>
              <w:rPr>
                <w:rFonts w:ascii="Avenir" w:eastAsia="Avenir" w:hAnsi="Avenir" w:cs="Avenir"/>
                <w:sz w:val="20"/>
                <w:szCs w:val="20"/>
                <w:lang w:val="en-GB"/>
              </w:rPr>
            </w:pPr>
            <w:r w:rsidRPr="00171C2D">
              <w:rPr>
                <w:rFonts w:ascii="Avenir" w:eastAsia="Avenir" w:hAnsi="Avenir" w:cs="Avenir"/>
                <w:sz w:val="20"/>
                <w:szCs w:val="20"/>
                <w:lang w:val="en-GB"/>
              </w:rPr>
              <w:t>Event costs/venue hire</w:t>
            </w:r>
          </w:p>
        </w:tc>
        <w:tc>
          <w:tcPr>
            <w:tcW w:w="4931" w:type="dxa"/>
            <w:tcBorders>
              <w:top w:val="single" w:sz="8" w:space="0" w:color="000000"/>
              <w:left w:val="single" w:sz="8" w:space="0" w:color="000000"/>
              <w:bottom w:val="single" w:sz="8" w:space="0" w:color="000000"/>
              <w:right w:val="single" w:sz="8" w:space="0" w:color="000000"/>
            </w:tcBorders>
            <w:shd w:val="clear" w:color="auto" w:fill="auto"/>
          </w:tcPr>
          <w:p w14:paraId="616A7291" w14:textId="77777777" w:rsidR="00B556DE" w:rsidRPr="00171C2D" w:rsidRDefault="000D6BB0">
            <w:pPr>
              <w:widowControl w:val="0"/>
              <w:spacing w:line="240" w:lineRule="auto"/>
              <w:rPr>
                <w:rFonts w:ascii="Avenir" w:eastAsia="Avenir" w:hAnsi="Avenir" w:cs="Avenir"/>
                <w:sz w:val="20"/>
                <w:szCs w:val="20"/>
                <w:lang w:val="en-GB"/>
              </w:rPr>
            </w:pPr>
            <w:r w:rsidRPr="00171C2D">
              <w:rPr>
                <w:rFonts w:ascii="Avenir" w:eastAsia="Avenir" w:hAnsi="Avenir" w:cs="Avenir"/>
                <w:sz w:val="20"/>
                <w:szCs w:val="20"/>
                <w:lang w:val="en-GB"/>
              </w:rPr>
              <w:t xml:space="preserve">Venue </w:t>
            </w:r>
            <w:proofErr w:type="gramStart"/>
            <w:r w:rsidRPr="00171C2D">
              <w:rPr>
                <w:rFonts w:ascii="Avenir" w:eastAsia="Avenir" w:hAnsi="Avenir" w:cs="Avenir"/>
                <w:sz w:val="20"/>
                <w:szCs w:val="20"/>
                <w:lang w:val="en-GB"/>
              </w:rPr>
              <w:t>hire</w:t>
            </w:r>
            <w:proofErr w:type="gramEnd"/>
            <w:r w:rsidRPr="00171C2D">
              <w:rPr>
                <w:rFonts w:ascii="Avenir" w:eastAsia="Avenir" w:hAnsi="Avenir" w:cs="Avenir"/>
                <w:sz w:val="20"/>
                <w:szCs w:val="20"/>
                <w:lang w:val="en-GB"/>
              </w:rPr>
              <w:t xml:space="preserve"> for a rally, or other events that relate to campaigns more generally</w:t>
            </w:r>
          </w:p>
        </w:tc>
        <w:tc>
          <w:tcPr>
            <w:tcW w:w="1809" w:type="dxa"/>
            <w:tcBorders>
              <w:top w:val="single" w:sz="8" w:space="0" w:color="000000"/>
              <w:left w:val="single" w:sz="8" w:space="0" w:color="000000"/>
              <w:bottom w:val="single" w:sz="8" w:space="0" w:color="000000"/>
              <w:right w:val="single" w:sz="8" w:space="0" w:color="000000"/>
            </w:tcBorders>
            <w:shd w:val="clear" w:color="auto" w:fill="auto"/>
          </w:tcPr>
          <w:p w14:paraId="4BBA17B1" w14:textId="376B5CD3" w:rsidR="00B556DE" w:rsidRPr="00171C2D" w:rsidRDefault="009014F3">
            <w:pPr>
              <w:widowControl w:val="0"/>
              <w:spacing w:line="240" w:lineRule="auto"/>
              <w:rPr>
                <w:rFonts w:ascii="Avenir" w:eastAsia="Avenir" w:hAnsi="Avenir" w:cs="Avenir"/>
                <w:sz w:val="20"/>
                <w:szCs w:val="20"/>
                <w:lang w:val="en-GB"/>
              </w:rPr>
            </w:pPr>
            <w:r>
              <w:rPr>
                <w:rFonts w:ascii="Avenir" w:eastAsia="Avenir" w:hAnsi="Avenir" w:cs="Avenir"/>
                <w:sz w:val="20"/>
                <w:szCs w:val="20"/>
                <w:lang w:val="en-GB"/>
              </w:rPr>
              <w:t>GBP </w:t>
            </w:r>
            <w:r w:rsidR="000D6BB0" w:rsidRPr="00171C2D">
              <w:rPr>
                <w:rFonts w:ascii="Avenir" w:eastAsia="Avenir" w:hAnsi="Avenir" w:cs="Avenir"/>
                <w:sz w:val="20"/>
                <w:szCs w:val="20"/>
                <w:lang w:val="en-GB"/>
              </w:rPr>
              <w:t>1,627,539</w:t>
            </w:r>
          </w:p>
        </w:tc>
      </w:tr>
      <w:tr w:rsidR="00171C2D" w:rsidRPr="00171C2D" w14:paraId="176555C6" w14:textId="77777777" w:rsidTr="00CD2046">
        <w:trPr>
          <w:trHeight w:val="400"/>
        </w:trPr>
        <w:tc>
          <w:tcPr>
            <w:tcW w:w="2620" w:type="dxa"/>
            <w:tcBorders>
              <w:top w:val="single" w:sz="8" w:space="0" w:color="000000"/>
              <w:left w:val="single" w:sz="8" w:space="0" w:color="000000"/>
              <w:bottom w:val="single" w:sz="8" w:space="0" w:color="000000"/>
              <w:right w:val="single" w:sz="8" w:space="0" w:color="000000"/>
            </w:tcBorders>
            <w:shd w:val="clear" w:color="auto" w:fill="auto"/>
          </w:tcPr>
          <w:p w14:paraId="50ABD1C7" w14:textId="77777777" w:rsidR="00B556DE" w:rsidRPr="00171C2D" w:rsidRDefault="000D6BB0" w:rsidP="0016651A">
            <w:pPr>
              <w:widowControl w:val="0"/>
              <w:spacing w:line="240" w:lineRule="auto"/>
              <w:ind w:left="90"/>
              <w:rPr>
                <w:rFonts w:ascii="Avenir" w:eastAsia="Avenir" w:hAnsi="Avenir" w:cs="Avenir"/>
                <w:sz w:val="20"/>
                <w:szCs w:val="20"/>
                <w:lang w:val="en-GB"/>
              </w:rPr>
            </w:pPr>
            <w:r w:rsidRPr="00171C2D">
              <w:rPr>
                <w:rFonts w:ascii="Avenir" w:eastAsia="Avenir" w:hAnsi="Avenir" w:cs="Avenir"/>
                <w:sz w:val="20"/>
                <w:szCs w:val="20"/>
                <w:lang w:val="en-GB"/>
              </w:rPr>
              <w:t>Creative content owned by a third party</w:t>
            </w:r>
          </w:p>
        </w:tc>
        <w:tc>
          <w:tcPr>
            <w:tcW w:w="4931" w:type="dxa"/>
            <w:tcBorders>
              <w:top w:val="single" w:sz="8" w:space="0" w:color="000000"/>
              <w:left w:val="single" w:sz="8" w:space="0" w:color="000000"/>
              <w:bottom w:val="single" w:sz="8" w:space="0" w:color="000000"/>
              <w:right w:val="single" w:sz="8" w:space="0" w:color="000000"/>
            </w:tcBorders>
            <w:shd w:val="clear" w:color="auto" w:fill="auto"/>
          </w:tcPr>
          <w:p w14:paraId="6A9B984E" w14:textId="77777777" w:rsidR="00B556DE" w:rsidRPr="00171C2D" w:rsidRDefault="000D6BB0">
            <w:pPr>
              <w:widowControl w:val="0"/>
              <w:spacing w:line="240" w:lineRule="auto"/>
              <w:rPr>
                <w:rFonts w:ascii="Avenir" w:eastAsia="Avenir" w:hAnsi="Avenir" w:cs="Avenir"/>
                <w:sz w:val="20"/>
                <w:szCs w:val="20"/>
                <w:lang w:val="en-GB"/>
              </w:rPr>
            </w:pPr>
            <w:r w:rsidRPr="00171C2D">
              <w:rPr>
                <w:rFonts w:ascii="Avenir" w:eastAsia="Avenir" w:hAnsi="Avenir" w:cs="Avenir"/>
                <w:sz w:val="20"/>
                <w:szCs w:val="20"/>
                <w:lang w:val="en-GB"/>
              </w:rPr>
              <w:t>Third-party content (such as Getty Images or demo music)</w:t>
            </w:r>
          </w:p>
        </w:tc>
        <w:tc>
          <w:tcPr>
            <w:tcW w:w="1809" w:type="dxa"/>
            <w:tcBorders>
              <w:top w:val="single" w:sz="8" w:space="0" w:color="000000"/>
              <w:left w:val="single" w:sz="8" w:space="0" w:color="000000"/>
              <w:bottom w:val="single" w:sz="8" w:space="0" w:color="000000"/>
              <w:right w:val="single" w:sz="8" w:space="0" w:color="000000"/>
            </w:tcBorders>
            <w:shd w:val="clear" w:color="auto" w:fill="auto"/>
          </w:tcPr>
          <w:p w14:paraId="6E2EE072" w14:textId="7E34A89B" w:rsidR="00B556DE" w:rsidRPr="00171C2D" w:rsidRDefault="009014F3">
            <w:pPr>
              <w:widowControl w:val="0"/>
              <w:spacing w:line="240" w:lineRule="auto"/>
              <w:rPr>
                <w:rFonts w:ascii="Avenir" w:eastAsia="Avenir" w:hAnsi="Avenir" w:cs="Avenir"/>
                <w:sz w:val="20"/>
                <w:szCs w:val="20"/>
                <w:lang w:val="en-GB"/>
              </w:rPr>
            </w:pPr>
            <w:r>
              <w:rPr>
                <w:rFonts w:ascii="Avenir" w:eastAsia="Avenir" w:hAnsi="Avenir" w:cs="Avenir"/>
                <w:sz w:val="20"/>
                <w:szCs w:val="20"/>
                <w:lang w:val="en-GB"/>
              </w:rPr>
              <w:t>GBP </w:t>
            </w:r>
            <w:r w:rsidR="000D6BB0" w:rsidRPr="00171C2D">
              <w:rPr>
                <w:rFonts w:ascii="Avenir" w:eastAsia="Avenir" w:hAnsi="Avenir" w:cs="Avenir"/>
                <w:sz w:val="20"/>
                <w:szCs w:val="20"/>
                <w:lang w:val="en-GB"/>
              </w:rPr>
              <w:t>41,034</w:t>
            </w:r>
          </w:p>
        </w:tc>
      </w:tr>
      <w:tr w:rsidR="009014F3" w:rsidRPr="00171C2D" w14:paraId="64CEFB45" w14:textId="77777777" w:rsidTr="00CD2046">
        <w:trPr>
          <w:trHeight w:val="400"/>
        </w:trPr>
        <w:tc>
          <w:tcPr>
            <w:tcW w:w="2620" w:type="dxa"/>
            <w:tcBorders>
              <w:top w:val="single" w:sz="8" w:space="0" w:color="000000"/>
              <w:left w:val="single" w:sz="8" w:space="0" w:color="000000"/>
              <w:bottom w:val="single" w:sz="8" w:space="0" w:color="000000"/>
              <w:right w:val="single" w:sz="8" w:space="0" w:color="000000"/>
            </w:tcBorders>
            <w:shd w:val="clear" w:color="auto" w:fill="auto"/>
          </w:tcPr>
          <w:p w14:paraId="25985730" w14:textId="58C0F0C0" w:rsidR="00B556DE" w:rsidRPr="00171C2D" w:rsidRDefault="000D6BB0" w:rsidP="0016651A">
            <w:pPr>
              <w:widowControl w:val="0"/>
              <w:spacing w:line="240" w:lineRule="auto"/>
              <w:ind w:left="90"/>
              <w:rPr>
                <w:rFonts w:ascii="Avenir" w:eastAsia="Avenir" w:hAnsi="Avenir" w:cs="Avenir"/>
                <w:sz w:val="20"/>
                <w:szCs w:val="20"/>
                <w:lang w:val="en-GB"/>
              </w:rPr>
            </w:pPr>
            <w:r w:rsidRPr="00171C2D">
              <w:rPr>
                <w:rFonts w:ascii="Avenir" w:eastAsia="Avenir" w:hAnsi="Avenir" w:cs="Avenir"/>
                <w:sz w:val="20"/>
                <w:szCs w:val="20"/>
                <w:lang w:val="en-GB"/>
              </w:rPr>
              <w:t xml:space="preserve">Translation/Braille/British </w:t>
            </w:r>
            <w:r w:rsidR="0016651A">
              <w:rPr>
                <w:rFonts w:ascii="Avenir" w:eastAsia="Avenir" w:hAnsi="Avenir" w:cs="Avenir"/>
                <w:sz w:val="20"/>
                <w:szCs w:val="20"/>
                <w:lang w:val="en-GB"/>
              </w:rPr>
              <w:t>si</w:t>
            </w:r>
            <w:r w:rsidRPr="00171C2D">
              <w:rPr>
                <w:rFonts w:ascii="Avenir" w:eastAsia="Avenir" w:hAnsi="Avenir" w:cs="Avenir"/>
                <w:sz w:val="20"/>
                <w:szCs w:val="20"/>
                <w:lang w:val="en-GB"/>
              </w:rPr>
              <w:t xml:space="preserve">gn </w:t>
            </w:r>
            <w:r w:rsidR="0016651A">
              <w:rPr>
                <w:rFonts w:ascii="Avenir" w:eastAsia="Avenir" w:hAnsi="Avenir" w:cs="Avenir"/>
                <w:sz w:val="20"/>
                <w:szCs w:val="20"/>
                <w:lang w:val="en-GB"/>
              </w:rPr>
              <w:t>l</w:t>
            </w:r>
            <w:r w:rsidRPr="00171C2D">
              <w:rPr>
                <w:rFonts w:ascii="Avenir" w:eastAsia="Avenir" w:hAnsi="Avenir" w:cs="Avenir"/>
                <w:sz w:val="20"/>
                <w:szCs w:val="20"/>
                <w:lang w:val="en-GB"/>
              </w:rPr>
              <w:t>anguage</w:t>
            </w:r>
          </w:p>
        </w:tc>
        <w:tc>
          <w:tcPr>
            <w:tcW w:w="4931" w:type="dxa"/>
            <w:tcBorders>
              <w:top w:val="single" w:sz="8" w:space="0" w:color="000000"/>
              <w:left w:val="single" w:sz="8" w:space="0" w:color="000000"/>
              <w:bottom w:val="single" w:sz="8" w:space="0" w:color="000000"/>
              <w:right w:val="single" w:sz="8" w:space="0" w:color="000000"/>
            </w:tcBorders>
            <w:shd w:val="clear" w:color="auto" w:fill="auto"/>
          </w:tcPr>
          <w:p w14:paraId="60558023" w14:textId="77777777" w:rsidR="00B556DE" w:rsidRPr="00171C2D" w:rsidRDefault="000D6BB0">
            <w:pPr>
              <w:widowControl w:val="0"/>
              <w:spacing w:line="240" w:lineRule="auto"/>
              <w:rPr>
                <w:rFonts w:ascii="Avenir" w:eastAsia="Avenir" w:hAnsi="Avenir" w:cs="Avenir"/>
                <w:sz w:val="20"/>
                <w:szCs w:val="20"/>
                <w:lang w:val="en-GB"/>
              </w:rPr>
            </w:pPr>
            <w:r w:rsidRPr="00171C2D">
              <w:rPr>
                <w:rFonts w:ascii="Avenir" w:eastAsia="Avenir" w:hAnsi="Avenir" w:cs="Avenir"/>
                <w:sz w:val="20"/>
                <w:szCs w:val="20"/>
                <w:lang w:val="en-GB"/>
              </w:rPr>
              <w:t>Translation services are employed, whether for leaflets, manifestos or during a rally/speech</w:t>
            </w:r>
          </w:p>
        </w:tc>
        <w:tc>
          <w:tcPr>
            <w:tcW w:w="1809" w:type="dxa"/>
            <w:tcBorders>
              <w:top w:val="single" w:sz="8" w:space="0" w:color="000000"/>
              <w:left w:val="single" w:sz="8" w:space="0" w:color="000000"/>
              <w:bottom w:val="single" w:sz="8" w:space="0" w:color="000000"/>
              <w:right w:val="single" w:sz="8" w:space="0" w:color="000000"/>
            </w:tcBorders>
            <w:shd w:val="clear" w:color="auto" w:fill="auto"/>
          </w:tcPr>
          <w:p w14:paraId="4B21A54B" w14:textId="2703503D" w:rsidR="00B556DE" w:rsidRPr="00171C2D" w:rsidRDefault="009014F3">
            <w:pPr>
              <w:widowControl w:val="0"/>
              <w:spacing w:line="240" w:lineRule="auto"/>
              <w:rPr>
                <w:rFonts w:ascii="Avenir" w:eastAsia="Avenir" w:hAnsi="Avenir" w:cs="Avenir"/>
                <w:sz w:val="20"/>
                <w:szCs w:val="20"/>
                <w:lang w:val="en-GB"/>
              </w:rPr>
            </w:pPr>
            <w:r>
              <w:rPr>
                <w:rFonts w:ascii="Avenir" w:eastAsia="Avenir" w:hAnsi="Avenir" w:cs="Avenir"/>
                <w:sz w:val="20"/>
                <w:szCs w:val="20"/>
                <w:lang w:val="en-GB"/>
              </w:rPr>
              <w:t>GBP </w:t>
            </w:r>
            <w:r w:rsidR="000D6BB0" w:rsidRPr="00171C2D">
              <w:rPr>
                <w:rFonts w:ascii="Avenir" w:eastAsia="Avenir" w:hAnsi="Avenir" w:cs="Avenir"/>
                <w:sz w:val="20"/>
                <w:szCs w:val="20"/>
                <w:lang w:val="en-GB"/>
              </w:rPr>
              <w:t>41,563</w:t>
            </w:r>
          </w:p>
        </w:tc>
      </w:tr>
    </w:tbl>
    <w:p w14:paraId="69DA0DFB" w14:textId="01D996AD" w:rsidR="00CD2046" w:rsidRDefault="00CD2046" w:rsidP="00CD2046">
      <w:pPr>
        <w:rPr>
          <w:rFonts w:ascii="Avenir" w:eastAsia="Avenir" w:hAnsi="Avenir" w:cs="Avenir"/>
          <w:lang w:val="en-GB"/>
        </w:rPr>
      </w:pPr>
      <w:r>
        <w:rPr>
          <w:rFonts w:ascii="Avenir" w:eastAsia="Avenir" w:hAnsi="Avenir" w:cs="Avenir"/>
          <w:lang w:val="en-GB"/>
        </w:rPr>
        <w:t>Source: Authors´ analysis of invoices returned to the Electoral Commission for the 2019 General Election.</w:t>
      </w:r>
    </w:p>
    <w:p w14:paraId="738A7BC7" w14:textId="77777777" w:rsidR="00B556DE" w:rsidRPr="00171C2D" w:rsidRDefault="00B556DE">
      <w:pPr>
        <w:jc w:val="both"/>
        <w:rPr>
          <w:rFonts w:ascii="Avenir" w:eastAsia="Avenir" w:hAnsi="Avenir" w:cs="Avenir"/>
          <w:highlight w:val="white"/>
          <w:lang w:val="en-GB"/>
        </w:rPr>
      </w:pPr>
    </w:p>
    <w:p w14:paraId="22BB68D9" w14:textId="764BAB7E" w:rsidR="00B556DE" w:rsidRPr="00171C2D" w:rsidRDefault="000D6BB0">
      <w:pPr>
        <w:jc w:val="both"/>
        <w:rPr>
          <w:rFonts w:ascii="Avenir" w:eastAsia="Avenir" w:hAnsi="Avenir" w:cs="Avenir"/>
          <w:highlight w:val="white"/>
          <w:lang w:val="en-GB"/>
        </w:rPr>
      </w:pPr>
      <w:r w:rsidRPr="00171C2D">
        <w:rPr>
          <w:rFonts w:ascii="Avenir" w:eastAsia="Avenir" w:hAnsi="Avenir" w:cs="Avenir"/>
          <w:highlight w:val="white"/>
          <w:lang w:val="en-GB"/>
        </w:rPr>
        <w:t xml:space="preserve">Table 7 and Figure 8 show that </w:t>
      </w:r>
      <w:r w:rsidR="009014F3">
        <w:rPr>
          <w:rFonts w:ascii="Avenir" w:eastAsia="Avenir" w:hAnsi="Avenir" w:cs="Avenir"/>
          <w:highlight w:val="white"/>
          <w:lang w:val="en-GB"/>
        </w:rPr>
        <w:t>GBP </w:t>
      </w:r>
      <w:r w:rsidRPr="00171C2D">
        <w:rPr>
          <w:rFonts w:ascii="Avenir" w:eastAsia="Avenir" w:hAnsi="Avenir" w:cs="Avenir"/>
          <w:highlight w:val="white"/>
          <w:lang w:val="en-GB"/>
        </w:rPr>
        <w:t xml:space="preserve">19,716,479 (91.4 per cent) was spent on either campaign material printing or paid leaflet delivery. The other activities identified commanded minimal spend. </w:t>
      </w:r>
    </w:p>
    <w:p w14:paraId="0AB20183" w14:textId="77777777" w:rsidR="00B556DE" w:rsidRPr="00171C2D" w:rsidRDefault="00B556DE">
      <w:pPr>
        <w:jc w:val="both"/>
        <w:rPr>
          <w:rFonts w:ascii="Avenir" w:eastAsia="Avenir" w:hAnsi="Avenir" w:cs="Avenir"/>
          <w:highlight w:val="white"/>
          <w:lang w:val="en-GB"/>
        </w:rPr>
      </w:pPr>
    </w:p>
    <w:p w14:paraId="69F0A64D" w14:textId="77777777" w:rsidR="00B556DE" w:rsidRPr="00171C2D" w:rsidRDefault="000D6BB0">
      <w:pPr>
        <w:jc w:val="both"/>
        <w:rPr>
          <w:rFonts w:ascii="Avenir" w:eastAsia="Avenir" w:hAnsi="Avenir" w:cs="Avenir"/>
          <w:b/>
          <w:bCs/>
          <w:iCs/>
          <w:highlight w:val="white"/>
          <w:lang w:val="en-GB"/>
        </w:rPr>
      </w:pPr>
      <w:r w:rsidRPr="00171C2D">
        <w:rPr>
          <w:rFonts w:ascii="Avenir" w:eastAsia="Avenir" w:hAnsi="Avenir" w:cs="Avenir"/>
          <w:b/>
          <w:bCs/>
          <w:iCs/>
          <w:highlight w:val="white"/>
          <w:lang w:val="en-GB"/>
        </w:rPr>
        <w:t xml:space="preserve">Figure 8: </w:t>
      </w:r>
      <w:r w:rsidRPr="00171C2D">
        <w:rPr>
          <w:rFonts w:ascii="Avenir" w:eastAsia="Avenir" w:hAnsi="Avenir" w:cs="Avenir"/>
          <w:b/>
          <w:bCs/>
          <w:iCs/>
          <w:lang w:val="en-GB"/>
        </w:rPr>
        <w:t>The distribution of spend across the ‘campaign materials’ subcategories, UK General Election 2019</w:t>
      </w:r>
    </w:p>
    <w:p w14:paraId="45C6F863" w14:textId="77777777" w:rsidR="00B556DE" w:rsidRPr="00171C2D" w:rsidRDefault="000D6BB0">
      <w:pPr>
        <w:jc w:val="both"/>
        <w:rPr>
          <w:rFonts w:ascii="Avenir" w:eastAsia="Avenir" w:hAnsi="Avenir" w:cs="Avenir"/>
          <w:highlight w:val="white"/>
          <w:lang w:val="en-GB"/>
        </w:rPr>
      </w:pPr>
      <w:r w:rsidRPr="00171C2D">
        <w:rPr>
          <w:noProof/>
        </w:rPr>
        <w:lastRenderedPageBreak/>
        <w:drawing>
          <wp:inline distT="0" distB="0" distL="0" distR="0" wp14:anchorId="7D7189AE" wp14:editId="07BBE53B">
            <wp:extent cx="5943600" cy="2794000"/>
            <wp:effectExtent l="0" t="0" r="0" b="0"/>
            <wp:docPr id="8" name="image5.png"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descr="Chart"/>
                    <pic:cNvPicPr>
                      <a:picLocks noChangeAspect="1" noChangeArrowheads="1"/>
                    </pic:cNvPicPr>
                  </pic:nvPicPr>
                  <pic:blipFill>
                    <a:blip r:embed="rId25"/>
                    <a:stretch>
                      <a:fillRect/>
                    </a:stretch>
                  </pic:blipFill>
                  <pic:spPr bwMode="auto">
                    <a:xfrm>
                      <a:off x="0" y="0"/>
                      <a:ext cx="5943600" cy="2794000"/>
                    </a:xfrm>
                    <a:prstGeom prst="rect">
                      <a:avLst/>
                    </a:prstGeom>
                  </pic:spPr>
                </pic:pic>
              </a:graphicData>
            </a:graphic>
          </wp:inline>
        </w:drawing>
      </w:r>
    </w:p>
    <w:p w14:paraId="7D33CE18" w14:textId="00719BA0" w:rsidR="00B556DE" w:rsidRPr="00771EAF" w:rsidRDefault="00E379B0" w:rsidP="00771EAF">
      <w:pPr>
        <w:rPr>
          <w:rFonts w:ascii="Avenir" w:eastAsia="Avenir" w:hAnsi="Avenir" w:cs="Avenir"/>
          <w:lang w:val="en-GB"/>
        </w:rPr>
      </w:pPr>
      <w:r w:rsidRPr="00E379B0">
        <w:rPr>
          <w:rFonts w:ascii="Avenir" w:eastAsia="Avenir" w:hAnsi="Avenir" w:cs="Avenir"/>
          <w:i/>
          <w:iCs/>
          <w:highlight w:val="white"/>
          <w:lang w:val="en-GB"/>
        </w:rPr>
        <w:t>Source</w:t>
      </w:r>
      <w:r>
        <w:rPr>
          <w:rFonts w:ascii="Avenir" w:eastAsia="Avenir" w:hAnsi="Avenir" w:cs="Avenir"/>
          <w:highlight w:val="white"/>
          <w:lang w:val="en-GB"/>
        </w:rPr>
        <w:t>:</w:t>
      </w:r>
      <w:r w:rsidR="00CD2046" w:rsidRPr="00CD2046">
        <w:rPr>
          <w:rFonts w:ascii="Avenir" w:eastAsia="Avenir" w:hAnsi="Avenir" w:cs="Avenir"/>
          <w:lang w:val="en-GB"/>
        </w:rPr>
        <w:t xml:space="preserve"> </w:t>
      </w:r>
      <w:r w:rsidR="00CD2046">
        <w:rPr>
          <w:rFonts w:ascii="Avenir" w:eastAsia="Avenir" w:hAnsi="Avenir" w:cs="Avenir"/>
          <w:lang w:val="en-GB"/>
        </w:rPr>
        <w:t>Authors´ analysis of invoices returned to the Electoral Commission for the 2019 General Election.</w:t>
      </w:r>
    </w:p>
    <w:p w14:paraId="41306B89" w14:textId="77777777" w:rsidR="00E379B0" w:rsidRPr="00171C2D" w:rsidRDefault="00E379B0">
      <w:pPr>
        <w:jc w:val="both"/>
        <w:rPr>
          <w:rFonts w:ascii="Avenir" w:eastAsia="Avenir" w:hAnsi="Avenir" w:cs="Avenir"/>
          <w:highlight w:val="white"/>
          <w:lang w:val="en-GB"/>
        </w:rPr>
      </w:pPr>
    </w:p>
    <w:p w14:paraId="477670A5" w14:textId="035CB970" w:rsidR="00B556DE" w:rsidRPr="00171C2D" w:rsidRDefault="000D6BB0">
      <w:pPr>
        <w:jc w:val="both"/>
        <w:rPr>
          <w:rFonts w:ascii="Avenir" w:eastAsia="Avenir" w:hAnsi="Avenir" w:cs="Avenir"/>
          <w:highlight w:val="white"/>
          <w:lang w:val="en-GB"/>
        </w:rPr>
      </w:pPr>
      <w:r w:rsidRPr="00171C2D">
        <w:rPr>
          <w:rFonts w:ascii="Avenir" w:eastAsia="Avenir" w:hAnsi="Avenir" w:cs="Avenir"/>
          <w:highlight w:val="white"/>
          <w:lang w:val="en-GB"/>
        </w:rPr>
        <w:t xml:space="preserve">Looking at the three highest spending subcategories, it is possible to see that the analogous categories used by the Electoral Commission are unsolicited material to electors, rallies and other events, and manifesto or referendum material. Across these three categories </w:t>
      </w:r>
      <w:r w:rsidR="009014F3">
        <w:rPr>
          <w:rFonts w:ascii="Avenir" w:eastAsia="Avenir" w:hAnsi="Avenir" w:cs="Avenir"/>
          <w:highlight w:val="white"/>
          <w:lang w:val="en-GB"/>
        </w:rPr>
        <w:t>GBP </w:t>
      </w:r>
      <w:r w:rsidRPr="00171C2D">
        <w:rPr>
          <w:rFonts w:ascii="Avenir" w:eastAsia="Avenir" w:hAnsi="Avenir" w:cs="Avenir"/>
          <w:highlight w:val="white"/>
          <w:lang w:val="en-GB"/>
        </w:rPr>
        <w:t xml:space="preserve">23,278,010 of spending is declared to the Electoral Commission, suggesting high alignment between the new category and these existing Electoral Commission categories. EMBs and electoral monitors can and should continue to rely on traditional categories even when investigating modern elections, and in particular the role of printed materials, including posters, </w:t>
      </w:r>
      <w:proofErr w:type="gramStart"/>
      <w:r w:rsidRPr="00171C2D">
        <w:rPr>
          <w:rFonts w:ascii="Avenir" w:eastAsia="Avenir" w:hAnsi="Avenir" w:cs="Avenir"/>
          <w:highlight w:val="white"/>
          <w:lang w:val="en-GB"/>
        </w:rPr>
        <w:t>leaflets</w:t>
      </w:r>
      <w:proofErr w:type="gramEnd"/>
      <w:r w:rsidRPr="00171C2D">
        <w:rPr>
          <w:rFonts w:ascii="Avenir" w:eastAsia="Avenir" w:hAnsi="Avenir" w:cs="Avenir"/>
          <w:highlight w:val="white"/>
          <w:lang w:val="en-GB"/>
        </w:rPr>
        <w:t xml:space="preserve"> and traditional mail. </w:t>
      </w:r>
    </w:p>
    <w:p w14:paraId="25CC4295" w14:textId="77777777" w:rsidR="00B556DE" w:rsidRPr="00171C2D" w:rsidRDefault="00B556DE">
      <w:pPr>
        <w:jc w:val="both"/>
        <w:rPr>
          <w:rFonts w:ascii="Avenir" w:eastAsia="Avenir" w:hAnsi="Avenir" w:cs="Avenir"/>
          <w:highlight w:val="white"/>
          <w:lang w:val="en-GB"/>
        </w:rPr>
      </w:pPr>
    </w:p>
    <w:p w14:paraId="28232366" w14:textId="30D643AD" w:rsidR="00B556DE" w:rsidRPr="00171C2D" w:rsidRDefault="000D6BB0">
      <w:pPr>
        <w:jc w:val="both"/>
        <w:rPr>
          <w:rFonts w:ascii="Avenir" w:eastAsia="Avenir" w:hAnsi="Avenir" w:cs="Avenir"/>
          <w:highlight w:val="white"/>
          <w:lang w:val="en-GB"/>
        </w:rPr>
      </w:pPr>
      <w:r w:rsidRPr="00171C2D">
        <w:rPr>
          <w:rFonts w:ascii="Avenir" w:eastAsia="Avenir" w:hAnsi="Avenir" w:cs="Avenir"/>
          <w:highlight w:val="white"/>
          <w:lang w:val="en-GB"/>
        </w:rPr>
        <w:t xml:space="preserve">Considerations for </w:t>
      </w:r>
      <w:r w:rsidR="0081763E" w:rsidRPr="00171C2D">
        <w:rPr>
          <w:rFonts w:ascii="Avenir" w:eastAsia="Avenir" w:hAnsi="Avenir" w:cs="Avenir"/>
          <w:lang w:val="en-GB"/>
        </w:rPr>
        <w:t>UK Electoral Commission</w:t>
      </w:r>
      <w:r w:rsidRPr="00171C2D">
        <w:rPr>
          <w:rFonts w:ascii="Avenir" w:eastAsia="Avenir" w:hAnsi="Avenir" w:cs="Avenir"/>
          <w:lang w:val="en-GB"/>
        </w:rPr>
        <w:t xml:space="preserve"> </w:t>
      </w:r>
      <w:r w:rsidRPr="00171C2D">
        <w:rPr>
          <w:rFonts w:ascii="Avenir" w:eastAsia="Avenir" w:hAnsi="Avenir" w:cs="Avenir"/>
          <w:highlight w:val="white"/>
          <w:lang w:val="en-GB"/>
        </w:rPr>
        <w:t>include:</w:t>
      </w:r>
    </w:p>
    <w:p w14:paraId="6711CEA7" w14:textId="663A3071" w:rsidR="00B556DE" w:rsidRPr="00171C2D" w:rsidRDefault="000D6BB0">
      <w:pPr>
        <w:numPr>
          <w:ilvl w:val="0"/>
          <w:numId w:val="50"/>
        </w:numPr>
        <w:jc w:val="both"/>
        <w:rPr>
          <w:rFonts w:ascii="Avenir" w:eastAsia="Avenir" w:hAnsi="Avenir" w:cs="Avenir"/>
          <w:lang w:val="en-GB"/>
        </w:rPr>
      </w:pPr>
      <w:r w:rsidRPr="00171C2D">
        <w:rPr>
          <w:rFonts w:ascii="Avenir" w:eastAsia="Avenir" w:hAnsi="Avenir" w:cs="Avenir"/>
          <w:lang w:val="en-GB"/>
        </w:rPr>
        <w:t>Prepare their investigations of elections with an understanding of the potential dominance of social media advertising and traditional understandings of advertising and press as established areas of resource within political campaigns.</w:t>
      </w:r>
      <w:bookmarkStart w:id="10" w:name="_Hlk98171088"/>
      <w:bookmarkEnd w:id="10"/>
    </w:p>
    <w:p w14:paraId="5E4FA713" w14:textId="77777777" w:rsidR="00B556DE" w:rsidRPr="00171C2D" w:rsidRDefault="000D6BB0">
      <w:pPr>
        <w:pStyle w:val="Heading4"/>
        <w:rPr>
          <w:color w:val="auto"/>
          <w:highlight w:val="white"/>
          <w:lang w:val="en-GB"/>
        </w:rPr>
      </w:pPr>
      <w:r w:rsidRPr="00171C2D">
        <w:rPr>
          <w:color w:val="auto"/>
          <w:highlight w:val="white"/>
          <w:lang w:val="en-GB"/>
        </w:rPr>
        <w:t>Campaign activity</w:t>
      </w:r>
    </w:p>
    <w:p w14:paraId="30C966A9" w14:textId="61613A03" w:rsidR="00B556DE" w:rsidRPr="00171C2D" w:rsidRDefault="000D6BB0">
      <w:pPr>
        <w:jc w:val="both"/>
        <w:rPr>
          <w:rFonts w:ascii="Avenir" w:eastAsia="Avenir" w:hAnsi="Avenir" w:cs="Avenir"/>
          <w:highlight w:val="white"/>
          <w:lang w:val="en-GB"/>
        </w:rPr>
      </w:pPr>
      <w:r w:rsidRPr="00171C2D">
        <w:rPr>
          <w:rFonts w:ascii="Avenir" w:eastAsia="Avenir" w:hAnsi="Avenir" w:cs="Avenir"/>
          <w:highlight w:val="white"/>
          <w:lang w:val="en-GB"/>
        </w:rPr>
        <w:t xml:space="preserve">The research team separately coded the few references to outreach and mobilization as examples of ‘campaign </w:t>
      </w:r>
      <w:proofErr w:type="gramStart"/>
      <w:r w:rsidRPr="00171C2D">
        <w:rPr>
          <w:rFonts w:ascii="Avenir" w:eastAsia="Avenir" w:hAnsi="Avenir" w:cs="Avenir"/>
          <w:highlight w:val="white"/>
          <w:lang w:val="en-GB"/>
        </w:rPr>
        <w:t>activities’</w:t>
      </w:r>
      <w:proofErr w:type="gramEnd"/>
      <w:r w:rsidRPr="00171C2D">
        <w:rPr>
          <w:rFonts w:ascii="Avenir" w:eastAsia="Avenir" w:hAnsi="Avenir" w:cs="Avenir"/>
          <w:highlight w:val="white"/>
          <w:lang w:val="en-GB"/>
        </w:rPr>
        <w:t xml:space="preserve">. This category contained two subcategories: fundraising and phone-banking (see Table 7). </w:t>
      </w:r>
    </w:p>
    <w:p w14:paraId="3974244E" w14:textId="77777777" w:rsidR="00B556DE" w:rsidRPr="00171C2D" w:rsidRDefault="00B556DE">
      <w:pPr>
        <w:jc w:val="both"/>
        <w:rPr>
          <w:rFonts w:ascii="Avenir" w:eastAsia="Avenir" w:hAnsi="Avenir" w:cs="Avenir"/>
          <w:highlight w:val="white"/>
          <w:lang w:val="en-GB"/>
        </w:rPr>
      </w:pPr>
    </w:p>
    <w:p w14:paraId="054C5FC6" w14:textId="05A98B68" w:rsidR="00B556DE" w:rsidRPr="00171C2D" w:rsidRDefault="000D6BB0" w:rsidP="009637B9">
      <w:pPr>
        <w:jc w:val="both"/>
        <w:rPr>
          <w:rFonts w:ascii="Avenir" w:eastAsia="Avenir" w:hAnsi="Avenir" w:cs="Avenir"/>
          <w:highlight w:val="white"/>
          <w:lang w:val="en-GB"/>
        </w:rPr>
      </w:pPr>
      <w:r w:rsidRPr="00171C2D">
        <w:rPr>
          <w:rFonts w:ascii="Avenir" w:eastAsia="Avenir" w:hAnsi="Avenir" w:cs="Avenir"/>
          <w:highlight w:val="white"/>
          <w:lang w:val="en-GB"/>
        </w:rPr>
        <w:t xml:space="preserve">The minimal invoices and spend in this area can be explained in different ways. First, a great deal of what might be understood as campaign spending may well take place outside of regulated campaign periods. Fundraising is a good example of this: political parties often conduct fundraising far ahead of an election </w:t>
      </w:r>
      <w:r w:rsidR="00F33D63" w:rsidRPr="00171C2D">
        <w:rPr>
          <w:rFonts w:ascii="Avenir" w:eastAsia="Avenir" w:hAnsi="Avenir" w:cs="Avenir"/>
          <w:highlight w:val="white"/>
          <w:lang w:val="en-GB"/>
        </w:rPr>
        <w:t>to</w:t>
      </w:r>
      <w:r w:rsidRPr="00171C2D">
        <w:rPr>
          <w:rFonts w:ascii="Avenir" w:eastAsia="Avenir" w:hAnsi="Avenir" w:cs="Avenir"/>
          <w:highlight w:val="white"/>
          <w:lang w:val="en-GB"/>
        </w:rPr>
        <w:t xml:space="preserve"> build war chests for election periods. Second, much campaign activity (such as phone-banking) is conducted by volunteers (see Bale et al. 2020). This voluntary service makes campaign activity relatively cheap and results in limited spend. This highlights the importance of equating </w:t>
      </w:r>
      <w:r w:rsidRPr="00171C2D">
        <w:rPr>
          <w:rFonts w:ascii="Avenir" w:eastAsia="Avenir" w:hAnsi="Avenir" w:cs="Avenir"/>
          <w:i/>
          <w:highlight w:val="white"/>
          <w:lang w:val="en-GB"/>
        </w:rPr>
        <w:t xml:space="preserve">spend </w:t>
      </w:r>
      <w:r w:rsidRPr="00171C2D">
        <w:rPr>
          <w:rFonts w:ascii="Avenir" w:eastAsia="Avenir" w:hAnsi="Avenir" w:cs="Avenir"/>
          <w:highlight w:val="white"/>
          <w:lang w:val="en-GB"/>
        </w:rPr>
        <w:t xml:space="preserve">to </w:t>
      </w:r>
      <w:r w:rsidRPr="00171C2D">
        <w:rPr>
          <w:rFonts w:ascii="Avenir" w:eastAsia="Avenir" w:hAnsi="Avenir" w:cs="Avenir"/>
          <w:i/>
          <w:highlight w:val="white"/>
          <w:lang w:val="en-GB"/>
        </w:rPr>
        <w:t>value</w:t>
      </w:r>
      <w:r w:rsidRPr="00171C2D">
        <w:rPr>
          <w:rFonts w:ascii="Avenir" w:eastAsia="Avenir" w:hAnsi="Avenir" w:cs="Avenir"/>
          <w:highlight w:val="white"/>
          <w:lang w:val="en-GB"/>
        </w:rPr>
        <w:t xml:space="preserve">. Many of these activities for parties can be conducted at low (or no) </w:t>
      </w:r>
      <w:r w:rsidR="003C3793" w:rsidRPr="00171C2D">
        <w:rPr>
          <w:rFonts w:ascii="Avenir" w:eastAsia="Avenir" w:hAnsi="Avenir" w:cs="Avenir"/>
          <w:highlight w:val="white"/>
          <w:lang w:val="en-GB"/>
        </w:rPr>
        <w:t>cost but</w:t>
      </w:r>
      <w:r w:rsidRPr="00171C2D">
        <w:rPr>
          <w:rFonts w:ascii="Avenir" w:eastAsia="Avenir" w:hAnsi="Avenir" w:cs="Avenir"/>
          <w:highlight w:val="white"/>
          <w:lang w:val="en-GB"/>
        </w:rPr>
        <w:t xml:space="preserve"> </w:t>
      </w:r>
      <w:r w:rsidRPr="00171C2D">
        <w:rPr>
          <w:rFonts w:ascii="Avenir" w:eastAsia="Avenir" w:hAnsi="Avenir" w:cs="Avenir"/>
          <w:highlight w:val="white"/>
          <w:lang w:val="en-GB"/>
        </w:rPr>
        <w:lastRenderedPageBreak/>
        <w:t xml:space="preserve">are essential to the running of a successful campaign. Third, under electoral law parties are not allowed to explicitly spend money on certain campaign activities (such as anything explicitly relating to ‘get-out-the-vote’). As such, the research team did not expect to find much reference to these kinds of activities in returns. In response to the first of these trends, it is recommended that EMBs in the UK and beyond extend financial reporting requirements outside of election periods to enable further scrutiny of party spend. </w:t>
      </w:r>
    </w:p>
    <w:p w14:paraId="5E02E241" w14:textId="77777777" w:rsidR="00B556DE" w:rsidRPr="00171C2D" w:rsidRDefault="00B556DE">
      <w:pPr>
        <w:jc w:val="both"/>
        <w:rPr>
          <w:rFonts w:ascii="Avenir" w:eastAsia="Avenir" w:hAnsi="Avenir" w:cs="Avenir"/>
          <w:highlight w:val="white"/>
          <w:lang w:val="en-GB"/>
        </w:rPr>
      </w:pPr>
    </w:p>
    <w:p w14:paraId="2FAEC1B7" w14:textId="0ED28A5C" w:rsidR="00B556DE" w:rsidRPr="004D4A4E" w:rsidRDefault="000D6BB0">
      <w:pPr>
        <w:jc w:val="both"/>
        <w:rPr>
          <w:rFonts w:ascii="Avenir" w:eastAsia="Avenir" w:hAnsi="Avenir" w:cs="Avenir"/>
          <w:b/>
          <w:bCs/>
          <w:iCs/>
        </w:rPr>
      </w:pPr>
      <w:r w:rsidRPr="004D4A4E">
        <w:rPr>
          <w:rFonts w:ascii="Avenir" w:eastAsia="Avenir" w:hAnsi="Avenir" w:cs="Avenir"/>
          <w:b/>
          <w:bCs/>
          <w:iCs/>
        </w:rPr>
        <w:t>Table 7: Sub-categories for the ‘Campaign Activity’ category, UK General Election 2019</w:t>
      </w:r>
    </w:p>
    <w:tbl>
      <w:tblPr>
        <w:tblW w:w="9345" w:type="dxa"/>
        <w:tblCellMar>
          <w:top w:w="100" w:type="dxa"/>
          <w:left w:w="100" w:type="dxa"/>
          <w:bottom w:w="100" w:type="dxa"/>
          <w:right w:w="100" w:type="dxa"/>
        </w:tblCellMar>
        <w:tblLook w:val="0600" w:firstRow="0" w:lastRow="0" w:firstColumn="0" w:lastColumn="0" w:noHBand="1" w:noVBand="1"/>
      </w:tblPr>
      <w:tblGrid>
        <w:gridCol w:w="2429"/>
        <w:gridCol w:w="4801"/>
        <w:gridCol w:w="2115"/>
      </w:tblGrid>
      <w:tr w:rsidR="00171C2D" w:rsidRPr="00171C2D" w14:paraId="39EB7E17" w14:textId="77777777" w:rsidTr="004D4A4E">
        <w:tc>
          <w:tcPr>
            <w:tcW w:w="2429" w:type="dxa"/>
            <w:tcBorders>
              <w:top w:val="single" w:sz="8" w:space="0" w:color="000000"/>
              <w:left w:val="single" w:sz="8" w:space="0" w:color="000000"/>
              <w:bottom w:val="single" w:sz="8" w:space="0" w:color="000000"/>
              <w:right w:val="single" w:sz="8" w:space="0" w:color="000000"/>
            </w:tcBorders>
            <w:shd w:val="clear" w:color="auto" w:fill="auto"/>
          </w:tcPr>
          <w:p w14:paraId="5E4A44BF" w14:textId="77777777" w:rsidR="00B556DE" w:rsidRPr="00171C2D" w:rsidRDefault="000D6BB0">
            <w:pPr>
              <w:widowControl w:val="0"/>
              <w:spacing w:line="240" w:lineRule="auto"/>
              <w:rPr>
                <w:rFonts w:ascii="Avenir" w:eastAsia="Avenir" w:hAnsi="Avenir" w:cs="Avenir"/>
                <w:b/>
                <w:sz w:val="20"/>
                <w:szCs w:val="20"/>
                <w:lang w:val="en-GB"/>
              </w:rPr>
            </w:pPr>
            <w:r w:rsidRPr="00171C2D">
              <w:rPr>
                <w:rFonts w:ascii="Avenir" w:eastAsia="Avenir" w:hAnsi="Avenir" w:cs="Avenir"/>
                <w:b/>
                <w:sz w:val="20"/>
                <w:szCs w:val="20"/>
                <w:lang w:val="en-GB"/>
              </w:rPr>
              <w:t>Campaign activity</w:t>
            </w:r>
          </w:p>
        </w:tc>
        <w:tc>
          <w:tcPr>
            <w:tcW w:w="4801" w:type="dxa"/>
            <w:tcBorders>
              <w:top w:val="single" w:sz="8" w:space="0" w:color="000000"/>
              <w:left w:val="single" w:sz="8" w:space="0" w:color="000000"/>
              <w:bottom w:val="single" w:sz="8" w:space="0" w:color="000000"/>
              <w:right w:val="single" w:sz="8" w:space="0" w:color="000000"/>
            </w:tcBorders>
            <w:shd w:val="clear" w:color="auto" w:fill="auto"/>
          </w:tcPr>
          <w:p w14:paraId="623C4739" w14:textId="3E129169" w:rsidR="00B556DE" w:rsidRPr="00171C2D" w:rsidRDefault="000D6BB0">
            <w:pPr>
              <w:widowControl w:val="0"/>
              <w:spacing w:line="240" w:lineRule="auto"/>
              <w:rPr>
                <w:rFonts w:ascii="Avenir" w:eastAsia="Avenir" w:hAnsi="Avenir" w:cs="Avenir"/>
                <w:b/>
                <w:sz w:val="20"/>
                <w:szCs w:val="20"/>
                <w:lang w:val="en-GB"/>
              </w:rPr>
            </w:pPr>
            <w:r w:rsidRPr="00171C2D">
              <w:rPr>
                <w:rFonts w:ascii="Avenir" w:eastAsia="Avenir" w:hAnsi="Avenir" w:cs="Avenir"/>
                <w:b/>
                <w:sz w:val="20"/>
                <w:szCs w:val="20"/>
                <w:lang w:val="en-GB"/>
              </w:rPr>
              <w:t xml:space="preserve">Invoices relating to the </w:t>
            </w:r>
            <w:r w:rsidRPr="00171C2D">
              <w:rPr>
                <w:rFonts w:ascii="Avenir" w:eastAsia="Avenir" w:hAnsi="Avenir" w:cs="Avenir"/>
                <w:b/>
                <w:i/>
                <w:sz w:val="20"/>
                <w:szCs w:val="20"/>
                <w:lang w:val="en-GB"/>
              </w:rPr>
              <w:t>process</w:t>
            </w:r>
            <w:r w:rsidRPr="00171C2D">
              <w:rPr>
                <w:rFonts w:ascii="Avenir" w:eastAsia="Avenir" w:hAnsi="Avenir" w:cs="Avenir"/>
                <w:b/>
                <w:sz w:val="20"/>
                <w:szCs w:val="20"/>
                <w:lang w:val="en-GB"/>
              </w:rPr>
              <w:t xml:space="preserve"> of campaigning (</w:t>
            </w:r>
            <w:proofErr w:type="gramStart"/>
            <w:r w:rsidRPr="00171C2D">
              <w:rPr>
                <w:rFonts w:ascii="Avenir" w:eastAsia="Avenir" w:hAnsi="Avenir" w:cs="Avenir"/>
                <w:b/>
                <w:sz w:val="20"/>
                <w:szCs w:val="20"/>
                <w:lang w:val="en-GB"/>
              </w:rPr>
              <w:t>i.e.</w:t>
            </w:r>
            <w:proofErr w:type="gramEnd"/>
            <w:r w:rsidRPr="00171C2D">
              <w:rPr>
                <w:rFonts w:ascii="Avenir" w:eastAsia="Avenir" w:hAnsi="Avenir" w:cs="Avenir"/>
                <w:b/>
                <w:sz w:val="20"/>
                <w:szCs w:val="20"/>
                <w:lang w:val="en-GB"/>
              </w:rPr>
              <w:t xml:space="preserve"> encouraging people to vote) as opposed to the specific materials used. This category has two subcategories.</w:t>
            </w:r>
          </w:p>
        </w:tc>
        <w:tc>
          <w:tcPr>
            <w:tcW w:w="2115" w:type="dxa"/>
            <w:tcBorders>
              <w:top w:val="single" w:sz="8" w:space="0" w:color="000000"/>
              <w:left w:val="single" w:sz="8" w:space="0" w:color="000000"/>
              <w:bottom w:val="single" w:sz="8" w:space="0" w:color="000000"/>
              <w:right w:val="single" w:sz="8" w:space="0" w:color="000000"/>
            </w:tcBorders>
            <w:shd w:val="clear" w:color="auto" w:fill="auto"/>
          </w:tcPr>
          <w:p w14:paraId="3BEE2418" w14:textId="0A81BFB3" w:rsidR="00B556DE" w:rsidRPr="00171C2D" w:rsidRDefault="000D6BB0">
            <w:pPr>
              <w:widowControl w:val="0"/>
              <w:spacing w:line="240" w:lineRule="auto"/>
              <w:rPr>
                <w:rFonts w:ascii="Avenir" w:eastAsia="Avenir" w:hAnsi="Avenir" w:cs="Avenir"/>
                <w:b/>
                <w:sz w:val="20"/>
                <w:szCs w:val="20"/>
                <w:lang w:val="en-GB"/>
              </w:rPr>
            </w:pPr>
            <w:proofErr w:type="gramStart"/>
            <w:r w:rsidRPr="00171C2D">
              <w:rPr>
                <w:rFonts w:ascii="Avenir" w:eastAsia="Avenir" w:hAnsi="Avenir" w:cs="Avenir"/>
                <w:b/>
                <w:sz w:val="20"/>
                <w:szCs w:val="20"/>
                <w:lang w:val="en-GB"/>
              </w:rPr>
              <w:t>Total</w:t>
            </w:r>
            <w:proofErr w:type="gramEnd"/>
            <w:r w:rsidRPr="00171C2D">
              <w:rPr>
                <w:rFonts w:ascii="Avenir" w:eastAsia="Avenir" w:hAnsi="Avenir" w:cs="Avenir"/>
                <w:b/>
                <w:sz w:val="20"/>
                <w:szCs w:val="20"/>
                <w:lang w:val="en-GB"/>
              </w:rPr>
              <w:t xml:space="preserve"> spend: </w:t>
            </w:r>
            <w:r w:rsidR="009014F3">
              <w:rPr>
                <w:rFonts w:ascii="Avenir" w:eastAsia="Avenir" w:hAnsi="Avenir" w:cs="Avenir"/>
                <w:b/>
                <w:sz w:val="20"/>
                <w:szCs w:val="20"/>
                <w:lang w:val="en-GB"/>
              </w:rPr>
              <w:t>GBP </w:t>
            </w:r>
            <w:r w:rsidRPr="00171C2D">
              <w:rPr>
                <w:rFonts w:ascii="Avenir" w:eastAsia="Avenir" w:hAnsi="Avenir" w:cs="Avenir"/>
                <w:b/>
                <w:sz w:val="20"/>
                <w:szCs w:val="20"/>
                <w:lang w:val="en-GB"/>
              </w:rPr>
              <w:t>86,050</w:t>
            </w:r>
          </w:p>
        </w:tc>
      </w:tr>
      <w:tr w:rsidR="00171C2D" w:rsidRPr="00171C2D" w14:paraId="4121A1BF" w14:textId="77777777" w:rsidTr="004D4A4E">
        <w:tc>
          <w:tcPr>
            <w:tcW w:w="2429" w:type="dxa"/>
            <w:tcBorders>
              <w:top w:val="single" w:sz="8" w:space="0" w:color="000000"/>
              <w:left w:val="single" w:sz="8" w:space="0" w:color="000000"/>
              <w:bottom w:val="single" w:sz="8" w:space="0" w:color="000000"/>
              <w:right w:val="single" w:sz="8" w:space="0" w:color="000000"/>
            </w:tcBorders>
            <w:shd w:val="clear" w:color="auto" w:fill="auto"/>
          </w:tcPr>
          <w:p w14:paraId="1A511C3D" w14:textId="77777777" w:rsidR="00B556DE" w:rsidRPr="00171C2D" w:rsidRDefault="000D6BB0" w:rsidP="009014F3">
            <w:pPr>
              <w:widowControl w:val="0"/>
              <w:spacing w:line="240" w:lineRule="auto"/>
              <w:ind w:left="90"/>
              <w:rPr>
                <w:rFonts w:ascii="Avenir" w:eastAsia="Avenir" w:hAnsi="Avenir" w:cs="Avenir"/>
                <w:sz w:val="20"/>
                <w:szCs w:val="20"/>
                <w:lang w:val="en-GB"/>
              </w:rPr>
            </w:pPr>
            <w:r w:rsidRPr="00171C2D">
              <w:rPr>
                <w:rFonts w:ascii="Avenir" w:eastAsia="Avenir" w:hAnsi="Avenir" w:cs="Avenir"/>
                <w:sz w:val="20"/>
                <w:szCs w:val="20"/>
                <w:lang w:val="en-GB"/>
              </w:rPr>
              <w:t>Campaign activity</w:t>
            </w:r>
          </w:p>
        </w:tc>
        <w:tc>
          <w:tcPr>
            <w:tcW w:w="4801" w:type="dxa"/>
            <w:tcBorders>
              <w:top w:val="single" w:sz="8" w:space="0" w:color="000000"/>
              <w:left w:val="single" w:sz="8" w:space="0" w:color="000000"/>
              <w:bottom w:val="single" w:sz="8" w:space="0" w:color="000000"/>
              <w:right w:val="single" w:sz="8" w:space="0" w:color="000000"/>
            </w:tcBorders>
            <w:shd w:val="clear" w:color="auto" w:fill="auto"/>
          </w:tcPr>
          <w:p w14:paraId="34B50882" w14:textId="77777777" w:rsidR="00B556DE" w:rsidRPr="00171C2D" w:rsidRDefault="000D6BB0">
            <w:pPr>
              <w:widowControl w:val="0"/>
              <w:spacing w:line="240" w:lineRule="auto"/>
              <w:rPr>
                <w:rFonts w:ascii="Avenir" w:eastAsia="Avenir" w:hAnsi="Avenir" w:cs="Avenir"/>
                <w:sz w:val="20"/>
                <w:szCs w:val="20"/>
                <w:lang w:val="en-GB"/>
              </w:rPr>
            </w:pPr>
            <w:r w:rsidRPr="00171C2D">
              <w:rPr>
                <w:rFonts w:ascii="Avenir" w:eastAsia="Avenir" w:hAnsi="Avenir" w:cs="Avenir"/>
                <w:sz w:val="20"/>
                <w:szCs w:val="20"/>
                <w:lang w:val="en-GB"/>
              </w:rPr>
              <w:t>Where services fell under the general category of ‘campaign activity’</w:t>
            </w:r>
          </w:p>
        </w:tc>
        <w:tc>
          <w:tcPr>
            <w:tcW w:w="2115" w:type="dxa"/>
            <w:tcBorders>
              <w:top w:val="single" w:sz="8" w:space="0" w:color="000000"/>
              <w:left w:val="single" w:sz="8" w:space="0" w:color="000000"/>
              <w:bottom w:val="single" w:sz="8" w:space="0" w:color="000000"/>
              <w:right w:val="single" w:sz="8" w:space="0" w:color="000000"/>
            </w:tcBorders>
            <w:shd w:val="clear" w:color="auto" w:fill="auto"/>
          </w:tcPr>
          <w:p w14:paraId="20142D7C" w14:textId="48BF37B5" w:rsidR="00B556DE" w:rsidRPr="00171C2D" w:rsidRDefault="009014F3">
            <w:pPr>
              <w:widowControl w:val="0"/>
              <w:spacing w:line="240" w:lineRule="auto"/>
              <w:rPr>
                <w:rFonts w:ascii="Avenir" w:eastAsia="Avenir" w:hAnsi="Avenir" w:cs="Avenir"/>
                <w:sz w:val="20"/>
                <w:szCs w:val="20"/>
                <w:lang w:val="en-GB"/>
              </w:rPr>
            </w:pPr>
            <w:r>
              <w:rPr>
                <w:rFonts w:ascii="Avenir" w:eastAsia="Avenir" w:hAnsi="Avenir" w:cs="Avenir"/>
                <w:sz w:val="20"/>
                <w:szCs w:val="20"/>
                <w:lang w:val="en-GB"/>
              </w:rPr>
              <w:t>GBP </w:t>
            </w:r>
            <w:r w:rsidR="000D6BB0" w:rsidRPr="00171C2D">
              <w:rPr>
                <w:rFonts w:ascii="Avenir" w:eastAsia="Avenir" w:hAnsi="Avenir" w:cs="Avenir"/>
                <w:sz w:val="20"/>
                <w:szCs w:val="20"/>
                <w:lang w:val="en-GB"/>
              </w:rPr>
              <w:t>0</w:t>
            </w:r>
          </w:p>
        </w:tc>
      </w:tr>
      <w:tr w:rsidR="00171C2D" w:rsidRPr="00171C2D" w14:paraId="6C689D33" w14:textId="77777777" w:rsidTr="004D4A4E">
        <w:trPr>
          <w:trHeight w:val="400"/>
        </w:trPr>
        <w:tc>
          <w:tcPr>
            <w:tcW w:w="2429" w:type="dxa"/>
            <w:tcBorders>
              <w:top w:val="single" w:sz="8" w:space="0" w:color="000000"/>
              <w:left w:val="single" w:sz="8" w:space="0" w:color="000000"/>
              <w:bottom w:val="single" w:sz="8" w:space="0" w:color="000000"/>
              <w:right w:val="single" w:sz="8" w:space="0" w:color="000000"/>
            </w:tcBorders>
            <w:shd w:val="clear" w:color="auto" w:fill="auto"/>
          </w:tcPr>
          <w:p w14:paraId="424702F7" w14:textId="77777777" w:rsidR="00B556DE" w:rsidRPr="00171C2D" w:rsidRDefault="000D6BB0" w:rsidP="009014F3">
            <w:pPr>
              <w:widowControl w:val="0"/>
              <w:spacing w:line="240" w:lineRule="auto"/>
              <w:ind w:left="90"/>
              <w:rPr>
                <w:rFonts w:ascii="Avenir" w:eastAsia="Avenir" w:hAnsi="Avenir" w:cs="Avenir"/>
                <w:sz w:val="20"/>
                <w:szCs w:val="20"/>
                <w:lang w:val="en-GB"/>
              </w:rPr>
            </w:pPr>
            <w:r w:rsidRPr="00171C2D">
              <w:rPr>
                <w:rFonts w:ascii="Avenir" w:eastAsia="Avenir" w:hAnsi="Avenir" w:cs="Avenir"/>
                <w:sz w:val="20"/>
                <w:szCs w:val="20"/>
                <w:lang w:val="en-GB"/>
              </w:rPr>
              <w:t>Fundraising</w:t>
            </w:r>
          </w:p>
        </w:tc>
        <w:tc>
          <w:tcPr>
            <w:tcW w:w="4801" w:type="dxa"/>
            <w:tcBorders>
              <w:top w:val="single" w:sz="8" w:space="0" w:color="000000"/>
              <w:left w:val="single" w:sz="8" w:space="0" w:color="000000"/>
              <w:bottom w:val="single" w:sz="8" w:space="0" w:color="000000"/>
              <w:right w:val="single" w:sz="8" w:space="0" w:color="000000"/>
            </w:tcBorders>
            <w:shd w:val="clear" w:color="auto" w:fill="auto"/>
          </w:tcPr>
          <w:p w14:paraId="39498AC2" w14:textId="77777777" w:rsidR="00B556DE" w:rsidRPr="00171C2D" w:rsidRDefault="000D6BB0">
            <w:pPr>
              <w:widowControl w:val="0"/>
              <w:spacing w:line="240" w:lineRule="auto"/>
              <w:rPr>
                <w:rFonts w:ascii="Avenir" w:eastAsia="Avenir" w:hAnsi="Avenir" w:cs="Avenir"/>
                <w:sz w:val="20"/>
                <w:szCs w:val="20"/>
                <w:lang w:val="en-GB"/>
              </w:rPr>
            </w:pPr>
            <w:r w:rsidRPr="00171C2D">
              <w:rPr>
                <w:rFonts w:ascii="Avenir" w:eastAsia="Avenir" w:hAnsi="Avenir" w:cs="Avenir"/>
                <w:sz w:val="20"/>
                <w:szCs w:val="20"/>
                <w:lang w:val="en-GB"/>
              </w:rPr>
              <w:t>Activity specifically designed around raising further funds for the campaign itself</w:t>
            </w:r>
          </w:p>
        </w:tc>
        <w:tc>
          <w:tcPr>
            <w:tcW w:w="2115" w:type="dxa"/>
            <w:tcBorders>
              <w:top w:val="single" w:sz="8" w:space="0" w:color="000000"/>
              <w:left w:val="single" w:sz="8" w:space="0" w:color="000000"/>
              <w:bottom w:val="single" w:sz="8" w:space="0" w:color="000000"/>
              <w:right w:val="single" w:sz="8" w:space="0" w:color="000000"/>
            </w:tcBorders>
            <w:shd w:val="clear" w:color="auto" w:fill="auto"/>
          </w:tcPr>
          <w:p w14:paraId="555D03D3" w14:textId="3922EAFD" w:rsidR="00B556DE" w:rsidRPr="00171C2D" w:rsidRDefault="009014F3">
            <w:pPr>
              <w:widowControl w:val="0"/>
              <w:spacing w:line="240" w:lineRule="auto"/>
              <w:rPr>
                <w:rFonts w:ascii="Avenir" w:eastAsia="Avenir" w:hAnsi="Avenir" w:cs="Avenir"/>
                <w:sz w:val="20"/>
                <w:szCs w:val="20"/>
                <w:lang w:val="en-GB"/>
              </w:rPr>
            </w:pPr>
            <w:r>
              <w:rPr>
                <w:rFonts w:ascii="Avenir" w:eastAsia="Avenir" w:hAnsi="Avenir" w:cs="Avenir"/>
                <w:sz w:val="20"/>
                <w:szCs w:val="20"/>
                <w:lang w:val="en-GB"/>
              </w:rPr>
              <w:t>GBP </w:t>
            </w:r>
            <w:r w:rsidR="000D6BB0" w:rsidRPr="00171C2D">
              <w:rPr>
                <w:rFonts w:ascii="Avenir" w:eastAsia="Avenir" w:hAnsi="Avenir" w:cs="Avenir"/>
                <w:sz w:val="20"/>
                <w:szCs w:val="20"/>
                <w:lang w:val="en-GB"/>
              </w:rPr>
              <w:t>7,610</w:t>
            </w:r>
          </w:p>
        </w:tc>
      </w:tr>
      <w:tr w:rsidR="004D4A4E" w:rsidRPr="00171C2D" w14:paraId="5D6D84FB" w14:textId="77777777" w:rsidTr="004D4A4E">
        <w:trPr>
          <w:trHeight w:val="400"/>
        </w:trPr>
        <w:tc>
          <w:tcPr>
            <w:tcW w:w="2429" w:type="dxa"/>
            <w:tcBorders>
              <w:top w:val="single" w:sz="8" w:space="0" w:color="000000"/>
              <w:left w:val="single" w:sz="8" w:space="0" w:color="000000"/>
              <w:bottom w:val="single" w:sz="8" w:space="0" w:color="000000"/>
              <w:right w:val="single" w:sz="8" w:space="0" w:color="000000"/>
            </w:tcBorders>
            <w:shd w:val="clear" w:color="auto" w:fill="auto"/>
          </w:tcPr>
          <w:p w14:paraId="0463AEC8" w14:textId="77777777" w:rsidR="00B556DE" w:rsidRPr="00171C2D" w:rsidRDefault="000D6BB0" w:rsidP="009014F3">
            <w:pPr>
              <w:widowControl w:val="0"/>
              <w:spacing w:line="240" w:lineRule="auto"/>
              <w:ind w:left="90"/>
              <w:rPr>
                <w:rFonts w:ascii="Avenir" w:eastAsia="Avenir" w:hAnsi="Avenir" w:cs="Avenir"/>
                <w:sz w:val="20"/>
                <w:szCs w:val="20"/>
                <w:lang w:val="en-GB"/>
              </w:rPr>
            </w:pPr>
            <w:r w:rsidRPr="00171C2D">
              <w:rPr>
                <w:rFonts w:ascii="Avenir" w:eastAsia="Avenir" w:hAnsi="Avenir" w:cs="Avenir"/>
                <w:sz w:val="20"/>
                <w:szCs w:val="20"/>
                <w:lang w:val="en-GB"/>
              </w:rPr>
              <w:t xml:space="preserve">Phone-banking </w:t>
            </w:r>
          </w:p>
        </w:tc>
        <w:tc>
          <w:tcPr>
            <w:tcW w:w="4801" w:type="dxa"/>
            <w:tcBorders>
              <w:top w:val="single" w:sz="8" w:space="0" w:color="000000"/>
              <w:left w:val="single" w:sz="8" w:space="0" w:color="000000"/>
              <w:bottom w:val="single" w:sz="8" w:space="0" w:color="000000"/>
              <w:right w:val="single" w:sz="8" w:space="0" w:color="000000"/>
            </w:tcBorders>
            <w:shd w:val="clear" w:color="auto" w:fill="auto"/>
          </w:tcPr>
          <w:p w14:paraId="7F34EEDE" w14:textId="77777777" w:rsidR="00B556DE" w:rsidRPr="00171C2D" w:rsidRDefault="000D6BB0">
            <w:pPr>
              <w:widowControl w:val="0"/>
              <w:spacing w:line="240" w:lineRule="auto"/>
              <w:rPr>
                <w:rFonts w:ascii="Avenir" w:eastAsia="Avenir" w:hAnsi="Avenir" w:cs="Avenir"/>
                <w:sz w:val="20"/>
                <w:szCs w:val="20"/>
                <w:lang w:val="en-GB"/>
              </w:rPr>
            </w:pPr>
            <w:r w:rsidRPr="00171C2D">
              <w:rPr>
                <w:rFonts w:ascii="Avenir" w:eastAsia="Avenir" w:hAnsi="Avenir" w:cs="Avenir"/>
                <w:sz w:val="20"/>
                <w:szCs w:val="20"/>
                <w:lang w:val="en-GB"/>
              </w:rPr>
              <w:t>Activity specifically referring to the use of phone banks to canvass support</w:t>
            </w:r>
          </w:p>
        </w:tc>
        <w:tc>
          <w:tcPr>
            <w:tcW w:w="2115" w:type="dxa"/>
            <w:tcBorders>
              <w:top w:val="single" w:sz="8" w:space="0" w:color="000000"/>
              <w:left w:val="single" w:sz="8" w:space="0" w:color="000000"/>
              <w:bottom w:val="single" w:sz="8" w:space="0" w:color="000000"/>
              <w:right w:val="single" w:sz="8" w:space="0" w:color="000000"/>
            </w:tcBorders>
            <w:shd w:val="clear" w:color="auto" w:fill="auto"/>
          </w:tcPr>
          <w:p w14:paraId="2CBCAE0A" w14:textId="3CFD7C57" w:rsidR="00B556DE" w:rsidRPr="00171C2D" w:rsidRDefault="009014F3">
            <w:pPr>
              <w:widowControl w:val="0"/>
              <w:spacing w:line="240" w:lineRule="auto"/>
              <w:rPr>
                <w:rFonts w:ascii="Avenir" w:eastAsia="Avenir" w:hAnsi="Avenir" w:cs="Avenir"/>
                <w:sz w:val="20"/>
                <w:szCs w:val="20"/>
                <w:lang w:val="en-GB"/>
              </w:rPr>
            </w:pPr>
            <w:r>
              <w:rPr>
                <w:rFonts w:ascii="Avenir" w:eastAsia="Avenir" w:hAnsi="Avenir" w:cs="Avenir"/>
                <w:sz w:val="20"/>
                <w:szCs w:val="20"/>
                <w:lang w:val="en-GB"/>
              </w:rPr>
              <w:t>GBP </w:t>
            </w:r>
            <w:r w:rsidR="000D6BB0" w:rsidRPr="00171C2D">
              <w:rPr>
                <w:rFonts w:ascii="Avenir" w:eastAsia="Avenir" w:hAnsi="Avenir" w:cs="Avenir"/>
                <w:sz w:val="20"/>
                <w:szCs w:val="20"/>
                <w:lang w:val="en-GB"/>
              </w:rPr>
              <w:t>78,440</w:t>
            </w:r>
          </w:p>
        </w:tc>
      </w:tr>
    </w:tbl>
    <w:p w14:paraId="216BF449" w14:textId="77777777" w:rsidR="00CD2046" w:rsidRDefault="006443D1" w:rsidP="00CD2046">
      <w:pPr>
        <w:rPr>
          <w:rFonts w:ascii="Avenir" w:eastAsia="Avenir" w:hAnsi="Avenir" w:cs="Avenir"/>
          <w:lang w:val="en-GB"/>
        </w:rPr>
      </w:pPr>
      <w:r w:rsidRPr="006443D1">
        <w:rPr>
          <w:rFonts w:ascii="Avenir" w:eastAsia="Avenir" w:hAnsi="Avenir" w:cs="Avenir"/>
          <w:i/>
          <w:iCs/>
          <w:highlight w:val="white"/>
          <w:lang w:val="en-GB"/>
        </w:rPr>
        <w:t>Source</w:t>
      </w:r>
      <w:r>
        <w:rPr>
          <w:rFonts w:ascii="Avenir" w:eastAsia="Avenir" w:hAnsi="Avenir" w:cs="Avenir"/>
          <w:highlight w:val="white"/>
          <w:lang w:val="en-GB"/>
        </w:rPr>
        <w:t xml:space="preserve">: </w:t>
      </w:r>
      <w:r w:rsidR="00CD2046">
        <w:rPr>
          <w:rFonts w:ascii="Avenir" w:eastAsia="Avenir" w:hAnsi="Avenir" w:cs="Avenir"/>
          <w:lang w:val="en-GB"/>
        </w:rPr>
        <w:t>Authors´ analysis of invoices returned to the Electoral Commission for the 2019 General Election.</w:t>
      </w:r>
    </w:p>
    <w:p w14:paraId="4D9378BC" w14:textId="45875FF9" w:rsidR="00B556DE" w:rsidRPr="00171C2D" w:rsidRDefault="00B556DE">
      <w:pPr>
        <w:jc w:val="both"/>
        <w:rPr>
          <w:rFonts w:ascii="Avenir" w:eastAsia="Avenir" w:hAnsi="Avenir" w:cs="Avenir"/>
          <w:highlight w:val="white"/>
          <w:lang w:val="en-GB"/>
        </w:rPr>
      </w:pPr>
    </w:p>
    <w:p w14:paraId="2D8B9F30" w14:textId="77777777" w:rsidR="00B556DE" w:rsidRPr="00171C2D" w:rsidRDefault="000D6BB0">
      <w:pPr>
        <w:pStyle w:val="Heading4"/>
        <w:rPr>
          <w:color w:val="auto"/>
          <w:lang w:val="en-GB"/>
        </w:rPr>
      </w:pPr>
      <w:r w:rsidRPr="00171C2D">
        <w:rPr>
          <w:color w:val="auto"/>
          <w:lang w:val="en-GB"/>
        </w:rPr>
        <w:t>Production</w:t>
      </w:r>
    </w:p>
    <w:p w14:paraId="6066B493" w14:textId="7A178C09" w:rsidR="00B556DE" w:rsidRPr="00171C2D" w:rsidRDefault="000D6BB0">
      <w:pPr>
        <w:jc w:val="both"/>
        <w:rPr>
          <w:rFonts w:ascii="Avenir" w:eastAsia="Avenir" w:hAnsi="Avenir" w:cs="Avenir"/>
          <w:lang w:val="en-GB"/>
        </w:rPr>
      </w:pPr>
      <w:r w:rsidRPr="00171C2D">
        <w:rPr>
          <w:rFonts w:ascii="Avenir" w:eastAsia="Avenir" w:hAnsi="Avenir" w:cs="Avenir"/>
          <w:lang w:val="en-GB"/>
        </w:rPr>
        <w:t>One of the categories that emerged from the research team’s coding that does not mirror existing Electoral Commission headings focused on production. Within this category, the team identified three subcategories that distinguished different types of activity (see Table</w:t>
      </w:r>
      <w:r w:rsidR="004D4A4E">
        <w:rPr>
          <w:rFonts w:ascii="Avenir" w:eastAsia="Avenir" w:hAnsi="Avenir" w:cs="Avenir"/>
          <w:lang w:val="en-GB"/>
        </w:rPr>
        <w:t> </w:t>
      </w:r>
      <w:r w:rsidRPr="00171C2D">
        <w:rPr>
          <w:rFonts w:ascii="Avenir" w:eastAsia="Avenir" w:hAnsi="Avenir" w:cs="Avenir"/>
          <w:lang w:val="en-GB"/>
        </w:rPr>
        <w:t xml:space="preserve">8). Video editing/production was the primary focus of spending, standing at </w:t>
      </w:r>
      <w:r w:rsidR="009014F3">
        <w:rPr>
          <w:rFonts w:ascii="Avenir" w:eastAsia="Avenir" w:hAnsi="Avenir" w:cs="Avenir"/>
          <w:lang w:val="en-GB"/>
        </w:rPr>
        <w:t>GBP </w:t>
      </w:r>
      <w:r w:rsidRPr="00171C2D">
        <w:rPr>
          <w:rFonts w:ascii="Avenir" w:eastAsia="Avenir" w:hAnsi="Avenir" w:cs="Avenir"/>
          <w:lang w:val="en-GB"/>
        </w:rPr>
        <w:t>970,534 or 76.3 per</w:t>
      </w:r>
      <w:r w:rsidR="0024279A">
        <w:rPr>
          <w:rFonts w:ascii="Avenir" w:eastAsia="Avenir" w:hAnsi="Avenir" w:cs="Avenir"/>
          <w:lang w:val="en-GB"/>
        </w:rPr>
        <w:t xml:space="preserve"> </w:t>
      </w:r>
      <w:r w:rsidRPr="00171C2D">
        <w:rPr>
          <w:rFonts w:ascii="Avenir" w:eastAsia="Avenir" w:hAnsi="Avenir" w:cs="Avenir"/>
          <w:lang w:val="en-GB"/>
        </w:rPr>
        <w:t xml:space="preserve">cent of the total category spend. In total, expenditure coded as production accounted for </w:t>
      </w:r>
      <w:r w:rsidR="009014F3">
        <w:rPr>
          <w:rFonts w:ascii="Avenir" w:eastAsia="Avenir" w:hAnsi="Avenir" w:cs="Avenir"/>
          <w:lang w:val="en-GB"/>
        </w:rPr>
        <w:t>GBP </w:t>
      </w:r>
      <w:r w:rsidRPr="00171C2D">
        <w:rPr>
          <w:rFonts w:ascii="Avenir" w:eastAsia="Avenir" w:hAnsi="Avenir" w:cs="Avenir"/>
          <w:lang w:val="en-GB"/>
        </w:rPr>
        <w:t>1,270,696 or 2.6 per</w:t>
      </w:r>
      <w:r w:rsidR="004D4A4E">
        <w:rPr>
          <w:rFonts w:ascii="Avenir" w:eastAsia="Avenir" w:hAnsi="Avenir" w:cs="Avenir"/>
          <w:lang w:val="en-GB"/>
        </w:rPr>
        <w:t xml:space="preserve"> </w:t>
      </w:r>
      <w:r w:rsidRPr="00171C2D">
        <w:rPr>
          <w:rFonts w:ascii="Avenir" w:eastAsia="Avenir" w:hAnsi="Avenir" w:cs="Avenir"/>
          <w:lang w:val="en-GB"/>
        </w:rPr>
        <w:t>cent of overall spend. The closest analogue within the Electoral Commission database is ‘campaign broadcasts’ (</w:t>
      </w:r>
      <w:r w:rsidR="009014F3">
        <w:rPr>
          <w:rFonts w:ascii="Avenir" w:eastAsia="Avenir" w:hAnsi="Avenir" w:cs="Avenir"/>
          <w:lang w:val="en-GB"/>
        </w:rPr>
        <w:t>GBP </w:t>
      </w:r>
      <w:r w:rsidRPr="00171C2D">
        <w:rPr>
          <w:rFonts w:ascii="Avenir" w:eastAsia="Avenir" w:hAnsi="Avenir" w:cs="Avenir"/>
          <w:lang w:val="en-GB"/>
        </w:rPr>
        <w:t xml:space="preserve">760,926), which is a difference of compared spend of </w:t>
      </w:r>
      <w:r w:rsidR="009014F3">
        <w:rPr>
          <w:rFonts w:ascii="Avenir" w:eastAsia="Avenir" w:hAnsi="Avenir" w:cs="Avenir"/>
          <w:lang w:val="en-GB"/>
        </w:rPr>
        <w:t>GBP </w:t>
      </w:r>
      <w:r w:rsidRPr="00171C2D">
        <w:rPr>
          <w:rFonts w:ascii="Avenir" w:eastAsia="Avenir" w:hAnsi="Avenir" w:cs="Avenir"/>
          <w:lang w:val="en-GB"/>
        </w:rPr>
        <w:t xml:space="preserve">509,770. </w:t>
      </w:r>
    </w:p>
    <w:p w14:paraId="5F2A57D2" w14:textId="77777777" w:rsidR="00B556DE" w:rsidRPr="00171C2D" w:rsidRDefault="00B556DE">
      <w:pPr>
        <w:jc w:val="both"/>
        <w:rPr>
          <w:rFonts w:ascii="Avenir" w:eastAsia="Avenir" w:hAnsi="Avenir" w:cs="Avenir"/>
          <w:lang w:val="en-GB"/>
        </w:rPr>
      </w:pPr>
    </w:p>
    <w:p w14:paraId="76780D1F" w14:textId="5BCE83CF"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The analysis showed that many of the activities the research team coded as referring to production were often declared by parties under the Electoral Commission headings as relating to advertising, manifesto or referendum material, </w:t>
      </w:r>
      <w:r w:rsidR="003C3793" w:rsidRPr="00171C2D">
        <w:rPr>
          <w:rFonts w:ascii="Avenir" w:eastAsia="Avenir" w:hAnsi="Avenir" w:cs="Avenir"/>
          <w:lang w:val="en-GB"/>
        </w:rPr>
        <w:t>media,</w:t>
      </w:r>
      <w:r w:rsidRPr="00171C2D">
        <w:rPr>
          <w:rFonts w:ascii="Avenir" w:eastAsia="Avenir" w:hAnsi="Avenir" w:cs="Avenir"/>
          <w:lang w:val="en-GB"/>
        </w:rPr>
        <w:t xml:space="preserve"> or overheads—showing that spend on this activity is declared inconsistently. This also shows the limit of what can be understood from looking at invoices: what suppliers provide may not be equal to an outcome, or how political parties use inputs from the suppliers. For example, a video can be produced by a supplier (video editing/production</w:t>
      </w:r>
      <w:r w:rsidR="00F058B9" w:rsidRPr="00171C2D">
        <w:rPr>
          <w:rFonts w:ascii="Avenir" w:eastAsia="Avenir" w:hAnsi="Avenir" w:cs="Avenir"/>
          <w:lang w:val="en-GB"/>
        </w:rPr>
        <w:t>) but</w:t>
      </w:r>
      <w:r w:rsidRPr="00171C2D">
        <w:rPr>
          <w:rFonts w:ascii="Avenir" w:eastAsia="Avenir" w:hAnsi="Avenir" w:cs="Avenir"/>
          <w:lang w:val="en-GB"/>
        </w:rPr>
        <w:t xml:space="preserve"> used at a rally (event costs/venue hire) or within a campaign manifesto (campaign materials) by the party.</w:t>
      </w:r>
    </w:p>
    <w:p w14:paraId="769C456F" w14:textId="77777777"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 </w:t>
      </w:r>
    </w:p>
    <w:p w14:paraId="6420B82C" w14:textId="53DAA924" w:rsidR="00B556DE" w:rsidRPr="00171C2D" w:rsidRDefault="000D6BB0">
      <w:pPr>
        <w:jc w:val="both"/>
        <w:rPr>
          <w:rFonts w:ascii="Avenir" w:eastAsia="Avenir" w:hAnsi="Avenir" w:cs="Avenir"/>
          <w:b/>
          <w:bCs/>
          <w:iCs/>
          <w:lang w:val="en-GB"/>
        </w:rPr>
      </w:pPr>
      <w:r w:rsidRPr="00171C2D">
        <w:rPr>
          <w:rFonts w:ascii="Avenir" w:eastAsia="Avenir" w:hAnsi="Avenir" w:cs="Avenir"/>
          <w:b/>
          <w:bCs/>
          <w:iCs/>
          <w:lang w:val="en-GB"/>
        </w:rPr>
        <w:t>Table 8: Subcategories for the ‘production’ category, UK General Election 2019</w:t>
      </w:r>
    </w:p>
    <w:tbl>
      <w:tblPr>
        <w:tblW w:w="9375" w:type="dxa"/>
        <w:tblCellMar>
          <w:top w:w="100" w:type="dxa"/>
          <w:left w:w="100" w:type="dxa"/>
          <w:bottom w:w="100" w:type="dxa"/>
          <w:right w:w="100" w:type="dxa"/>
        </w:tblCellMar>
        <w:tblLook w:val="0600" w:firstRow="0" w:lastRow="0" w:firstColumn="0" w:lastColumn="0" w:noHBand="1" w:noVBand="1"/>
      </w:tblPr>
      <w:tblGrid>
        <w:gridCol w:w="2400"/>
        <w:gridCol w:w="4800"/>
        <w:gridCol w:w="2175"/>
      </w:tblGrid>
      <w:tr w:rsidR="00171C2D" w:rsidRPr="00171C2D" w14:paraId="336648F2" w14:textId="77777777" w:rsidTr="0024279A">
        <w:tc>
          <w:tcPr>
            <w:tcW w:w="2400" w:type="dxa"/>
            <w:tcBorders>
              <w:top w:val="single" w:sz="8" w:space="0" w:color="000000"/>
              <w:left w:val="single" w:sz="8" w:space="0" w:color="000000"/>
              <w:bottom w:val="single" w:sz="8" w:space="0" w:color="000000"/>
              <w:right w:val="single" w:sz="8" w:space="0" w:color="000000"/>
            </w:tcBorders>
            <w:shd w:val="clear" w:color="auto" w:fill="auto"/>
          </w:tcPr>
          <w:p w14:paraId="56464BC5" w14:textId="77777777" w:rsidR="00B556DE" w:rsidRPr="00171C2D" w:rsidRDefault="000D6BB0">
            <w:pPr>
              <w:widowControl w:val="0"/>
              <w:spacing w:line="240" w:lineRule="auto"/>
              <w:rPr>
                <w:rFonts w:ascii="Avenir" w:eastAsia="Avenir" w:hAnsi="Avenir" w:cs="Avenir"/>
                <w:b/>
                <w:sz w:val="20"/>
                <w:szCs w:val="20"/>
                <w:lang w:val="en-GB"/>
              </w:rPr>
            </w:pPr>
            <w:r w:rsidRPr="00171C2D">
              <w:rPr>
                <w:rFonts w:ascii="Avenir" w:eastAsia="Avenir" w:hAnsi="Avenir" w:cs="Avenir"/>
                <w:b/>
                <w:sz w:val="20"/>
                <w:szCs w:val="20"/>
                <w:lang w:val="en-GB"/>
              </w:rPr>
              <w:t>Production</w:t>
            </w:r>
          </w:p>
        </w:tc>
        <w:tc>
          <w:tcPr>
            <w:tcW w:w="4800" w:type="dxa"/>
            <w:tcBorders>
              <w:top w:val="single" w:sz="8" w:space="0" w:color="000000"/>
              <w:left w:val="single" w:sz="8" w:space="0" w:color="000000"/>
              <w:bottom w:val="single" w:sz="8" w:space="0" w:color="000000"/>
              <w:right w:val="single" w:sz="8" w:space="0" w:color="000000"/>
            </w:tcBorders>
            <w:shd w:val="clear" w:color="auto" w:fill="auto"/>
          </w:tcPr>
          <w:p w14:paraId="61D5B1F6" w14:textId="77777777" w:rsidR="00B556DE" w:rsidRPr="00171C2D" w:rsidRDefault="000D6BB0">
            <w:pPr>
              <w:widowControl w:val="0"/>
              <w:spacing w:line="240" w:lineRule="auto"/>
              <w:rPr>
                <w:rFonts w:ascii="Avenir" w:eastAsia="Avenir" w:hAnsi="Avenir" w:cs="Avenir"/>
                <w:b/>
                <w:sz w:val="20"/>
                <w:szCs w:val="20"/>
                <w:lang w:val="en-GB"/>
              </w:rPr>
            </w:pPr>
            <w:r w:rsidRPr="00171C2D">
              <w:rPr>
                <w:rFonts w:ascii="Avenir" w:eastAsia="Avenir" w:hAnsi="Avenir" w:cs="Avenir"/>
                <w:b/>
                <w:sz w:val="20"/>
                <w:szCs w:val="20"/>
                <w:lang w:val="en-GB"/>
              </w:rPr>
              <w:t xml:space="preserve">Invoices referring to production contained services relating to the creation of campaign </w:t>
            </w:r>
            <w:r w:rsidRPr="00171C2D">
              <w:rPr>
                <w:rFonts w:ascii="Avenir" w:eastAsia="Avenir" w:hAnsi="Avenir" w:cs="Avenir"/>
                <w:b/>
                <w:sz w:val="20"/>
                <w:szCs w:val="20"/>
                <w:lang w:val="en-GB"/>
              </w:rPr>
              <w:lastRenderedPageBreak/>
              <w:t>content for wider dissemination (</w:t>
            </w:r>
            <w:proofErr w:type="gramStart"/>
            <w:r w:rsidRPr="00171C2D">
              <w:rPr>
                <w:rFonts w:ascii="Avenir" w:eastAsia="Avenir" w:hAnsi="Avenir" w:cs="Avenir"/>
                <w:b/>
                <w:sz w:val="20"/>
                <w:szCs w:val="20"/>
                <w:lang w:val="en-GB"/>
              </w:rPr>
              <w:t>e.g.</w:t>
            </w:r>
            <w:proofErr w:type="gramEnd"/>
            <w:r w:rsidRPr="00171C2D">
              <w:rPr>
                <w:rFonts w:ascii="Avenir" w:eastAsia="Avenir" w:hAnsi="Avenir" w:cs="Avenir"/>
                <w:b/>
                <w:sz w:val="20"/>
                <w:szCs w:val="20"/>
                <w:lang w:val="en-GB"/>
              </w:rPr>
              <w:t xml:space="preserve"> party election broadcasts and Facebook videos). This category has three subcategories.</w:t>
            </w:r>
          </w:p>
        </w:tc>
        <w:tc>
          <w:tcPr>
            <w:tcW w:w="2175" w:type="dxa"/>
            <w:tcBorders>
              <w:top w:val="single" w:sz="8" w:space="0" w:color="000000"/>
              <w:left w:val="single" w:sz="8" w:space="0" w:color="000000"/>
              <w:bottom w:val="single" w:sz="8" w:space="0" w:color="000000"/>
              <w:right w:val="single" w:sz="8" w:space="0" w:color="000000"/>
            </w:tcBorders>
            <w:shd w:val="clear" w:color="auto" w:fill="auto"/>
          </w:tcPr>
          <w:p w14:paraId="75720CE9" w14:textId="4B4ADE18" w:rsidR="00B556DE" w:rsidRPr="00171C2D" w:rsidRDefault="000D6BB0">
            <w:pPr>
              <w:widowControl w:val="0"/>
              <w:spacing w:line="240" w:lineRule="auto"/>
              <w:rPr>
                <w:rFonts w:ascii="Avenir" w:eastAsia="Avenir" w:hAnsi="Avenir" w:cs="Avenir"/>
                <w:b/>
                <w:sz w:val="20"/>
                <w:szCs w:val="20"/>
                <w:lang w:val="en-GB"/>
              </w:rPr>
            </w:pPr>
            <w:proofErr w:type="gramStart"/>
            <w:r w:rsidRPr="00171C2D">
              <w:rPr>
                <w:rFonts w:ascii="Avenir" w:eastAsia="Avenir" w:hAnsi="Avenir" w:cs="Avenir"/>
                <w:b/>
                <w:sz w:val="20"/>
                <w:szCs w:val="20"/>
                <w:lang w:val="en-GB"/>
              </w:rPr>
              <w:lastRenderedPageBreak/>
              <w:t>Total</w:t>
            </w:r>
            <w:proofErr w:type="gramEnd"/>
            <w:r w:rsidRPr="00171C2D">
              <w:rPr>
                <w:rFonts w:ascii="Avenir" w:eastAsia="Avenir" w:hAnsi="Avenir" w:cs="Avenir"/>
                <w:b/>
                <w:sz w:val="20"/>
                <w:szCs w:val="20"/>
                <w:lang w:val="en-GB"/>
              </w:rPr>
              <w:t xml:space="preserve"> spend: </w:t>
            </w:r>
            <w:r w:rsidR="009014F3">
              <w:rPr>
                <w:rFonts w:ascii="Avenir" w:eastAsia="Avenir" w:hAnsi="Avenir" w:cs="Avenir"/>
                <w:b/>
                <w:sz w:val="20"/>
                <w:szCs w:val="20"/>
                <w:lang w:val="en-GB"/>
              </w:rPr>
              <w:t>GBP </w:t>
            </w:r>
            <w:r w:rsidRPr="00171C2D">
              <w:rPr>
                <w:rFonts w:ascii="Avenir" w:eastAsia="Avenir" w:hAnsi="Avenir" w:cs="Avenir"/>
                <w:b/>
                <w:sz w:val="20"/>
                <w:szCs w:val="20"/>
                <w:lang w:val="en-GB"/>
              </w:rPr>
              <w:t>1,270,696</w:t>
            </w:r>
          </w:p>
        </w:tc>
      </w:tr>
      <w:tr w:rsidR="00171C2D" w:rsidRPr="00171C2D" w14:paraId="19DF1323" w14:textId="77777777" w:rsidTr="0024279A">
        <w:tc>
          <w:tcPr>
            <w:tcW w:w="2400" w:type="dxa"/>
            <w:tcBorders>
              <w:top w:val="single" w:sz="8" w:space="0" w:color="000000"/>
              <w:left w:val="single" w:sz="8" w:space="0" w:color="000000"/>
              <w:bottom w:val="single" w:sz="8" w:space="0" w:color="000000"/>
              <w:right w:val="single" w:sz="8" w:space="0" w:color="000000"/>
            </w:tcBorders>
            <w:shd w:val="clear" w:color="auto" w:fill="auto"/>
          </w:tcPr>
          <w:p w14:paraId="760940F4" w14:textId="77777777" w:rsidR="00B556DE" w:rsidRPr="00171C2D" w:rsidRDefault="000D6BB0" w:rsidP="0024279A">
            <w:pPr>
              <w:widowControl w:val="0"/>
              <w:spacing w:line="240" w:lineRule="auto"/>
              <w:ind w:left="90"/>
              <w:rPr>
                <w:rFonts w:ascii="Avenir" w:eastAsia="Avenir" w:hAnsi="Avenir" w:cs="Avenir"/>
                <w:sz w:val="20"/>
                <w:szCs w:val="20"/>
                <w:lang w:val="en-GB"/>
              </w:rPr>
            </w:pPr>
            <w:r w:rsidRPr="00171C2D">
              <w:rPr>
                <w:rFonts w:ascii="Avenir" w:eastAsia="Avenir" w:hAnsi="Avenir" w:cs="Avenir"/>
                <w:sz w:val="20"/>
                <w:szCs w:val="20"/>
                <w:lang w:val="en-GB"/>
              </w:rPr>
              <w:t>Production</w:t>
            </w:r>
          </w:p>
        </w:tc>
        <w:tc>
          <w:tcPr>
            <w:tcW w:w="4800" w:type="dxa"/>
            <w:tcBorders>
              <w:top w:val="single" w:sz="8" w:space="0" w:color="000000"/>
              <w:left w:val="single" w:sz="8" w:space="0" w:color="000000"/>
              <w:bottom w:val="single" w:sz="8" w:space="0" w:color="000000"/>
              <w:right w:val="single" w:sz="8" w:space="0" w:color="000000"/>
            </w:tcBorders>
            <w:shd w:val="clear" w:color="auto" w:fill="auto"/>
          </w:tcPr>
          <w:p w14:paraId="5C0DD710" w14:textId="77777777" w:rsidR="00B556DE" w:rsidRPr="00171C2D" w:rsidRDefault="000D6BB0">
            <w:pPr>
              <w:widowControl w:val="0"/>
              <w:spacing w:line="240" w:lineRule="auto"/>
              <w:rPr>
                <w:rFonts w:ascii="Avenir" w:eastAsia="Avenir" w:hAnsi="Avenir" w:cs="Avenir"/>
                <w:sz w:val="20"/>
                <w:szCs w:val="20"/>
                <w:lang w:val="en-GB"/>
              </w:rPr>
            </w:pPr>
            <w:r w:rsidRPr="00171C2D">
              <w:rPr>
                <w:rFonts w:ascii="Avenir" w:eastAsia="Avenir" w:hAnsi="Avenir" w:cs="Avenir"/>
                <w:sz w:val="20"/>
                <w:szCs w:val="20"/>
                <w:lang w:val="en-GB"/>
              </w:rPr>
              <w:t xml:space="preserve">Where services fell under the general category of ‘campaign activity’ </w:t>
            </w:r>
          </w:p>
        </w:tc>
        <w:tc>
          <w:tcPr>
            <w:tcW w:w="2175" w:type="dxa"/>
            <w:tcBorders>
              <w:top w:val="single" w:sz="8" w:space="0" w:color="000000"/>
              <w:left w:val="single" w:sz="8" w:space="0" w:color="000000"/>
              <w:bottom w:val="single" w:sz="8" w:space="0" w:color="000000"/>
              <w:right w:val="single" w:sz="8" w:space="0" w:color="000000"/>
            </w:tcBorders>
            <w:shd w:val="clear" w:color="auto" w:fill="auto"/>
          </w:tcPr>
          <w:p w14:paraId="1A00558F" w14:textId="0C6E3FED" w:rsidR="00B556DE" w:rsidRPr="00171C2D" w:rsidRDefault="009014F3">
            <w:pPr>
              <w:widowControl w:val="0"/>
              <w:spacing w:line="240" w:lineRule="auto"/>
              <w:rPr>
                <w:rFonts w:ascii="Avenir" w:eastAsia="Avenir" w:hAnsi="Avenir" w:cs="Avenir"/>
                <w:sz w:val="20"/>
                <w:szCs w:val="20"/>
                <w:lang w:val="en-GB"/>
              </w:rPr>
            </w:pPr>
            <w:r>
              <w:rPr>
                <w:rFonts w:ascii="Avenir" w:eastAsia="Avenir" w:hAnsi="Avenir" w:cs="Avenir"/>
                <w:sz w:val="20"/>
                <w:szCs w:val="20"/>
                <w:lang w:val="en-GB"/>
              </w:rPr>
              <w:t>GBP </w:t>
            </w:r>
            <w:r w:rsidR="000D6BB0" w:rsidRPr="00171C2D">
              <w:rPr>
                <w:rFonts w:ascii="Avenir" w:eastAsia="Avenir" w:hAnsi="Avenir" w:cs="Avenir"/>
                <w:sz w:val="20"/>
                <w:szCs w:val="20"/>
                <w:lang w:val="en-GB"/>
              </w:rPr>
              <w:t>193,875</w:t>
            </w:r>
          </w:p>
        </w:tc>
      </w:tr>
      <w:tr w:rsidR="00171C2D" w:rsidRPr="00171C2D" w14:paraId="7B9ABFF8" w14:textId="77777777" w:rsidTr="0024279A">
        <w:trPr>
          <w:trHeight w:val="400"/>
        </w:trPr>
        <w:tc>
          <w:tcPr>
            <w:tcW w:w="2400" w:type="dxa"/>
            <w:tcBorders>
              <w:top w:val="single" w:sz="8" w:space="0" w:color="000000"/>
              <w:left w:val="single" w:sz="8" w:space="0" w:color="000000"/>
              <w:bottom w:val="single" w:sz="8" w:space="0" w:color="000000"/>
              <w:right w:val="single" w:sz="8" w:space="0" w:color="000000"/>
            </w:tcBorders>
            <w:shd w:val="clear" w:color="auto" w:fill="auto"/>
          </w:tcPr>
          <w:p w14:paraId="1DEDE46F" w14:textId="123712A4" w:rsidR="00B556DE" w:rsidRPr="00171C2D" w:rsidRDefault="000D6BB0" w:rsidP="0024279A">
            <w:pPr>
              <w:widowControl w:val="0"/>
              <w:spacing w:line="240" w:lineRule="auto"/>
              <w:ind w:left="90"/>
              <w:rPr>
                <w:rFonts w:ascii="Avenir" w:eastAsia="Avenir" w:hAnsi="Avenir" w:cs="Avenir"/>
                <w:sz w:val="20"/>
                <w:szCs w:val="20"/>
                <w:lang w:val="en-GB"/>
              </w:rPr>
            </w:pPr>
            <w:r w:rsidRPr="00171C2D">
              <w:rPr>
                <w:rFonts w:ascii="Avenir" w:eastAsia="Avenir" w:hAnsi="Avenir" w:cs="Avenir"/>
                <w:sz w:val="20"/>
                <w:szCs w:val="20"/>
                <w:lang w:val="en-GB"/>
              </w:rPr>
              <w:t>Video editing/production</w:t>
            </w:r>
          </w:p>
        </w:tc>
        <w:tc>
          <w:tcPr>
            <w:tcW w:w="4800" w:type="dxa"/>
            <w:tcBorders>
              <w:top w:val="single" w:sz="8" w:space="0" w:color="000000"/>
              <w:left w:val="single" w:sz="8" w:space="0" w:color="000000"/>
              <w:bottom w:val="single" w:sz="8" w:space="0" w:color="000000"/>
              <w:right w:val="single" w:sz="8" w:space="0" w:color="000000"/>
            </w:tcBorders>
            <w:shd w:val="clear" w:color="auto" w:fill="auto"/>
          </w:tcPr>
          <w:p w14:paraId="4A612B13" w14:textId="77777777" w:rsidR="00B556DE" w:rsidRPr="00171C2D" w:rsidRDefault="000D6BB0">
            <w:pPr>
              <w:widowControl w:val="0"/>
              <w:spacing w:line="240" w:lineRule="auto"/>
              <w:rPr>
                <w:rFonts w:ascii="Avenir" w:eastAsia="Avenir" w:hAnsi="Avenir" w:cs="Avenir"/>
                <w:sz w:val="20"/>
                <w:szCs w:val="20"/>
                <w:lang w:val="en-GB"/>
              </w:rPr>
            </w:pPr>
            <w:r w:rsidRPr="00171C2D">
              <w:rPr>
                <w:rFonts w:ascii="Avenir" w:eastAsia="Avenir" w:hAnsi="Avenir" w:cs="Avenir"/>
                <w:sz w:val="20"/>
                <w:szCs w:val="20"/>
                <w:lang w:val="en-GB"/>
              </w:rPr>
              <w:t xml:space="preserve">Video-related editing and production </w:t>
            </w:r>
          </w:p>
        </w:tc>
        <w:tc>
          <w:tcPr>
            <w:tcW w:w="2175" w:type="dxa"/>
            <w:tcBorders>
              <w:top w:val="single" w:sz="8" w:space="0" w:color="000000"/>
              <w:left w:val="single" w:sz="8" w:space="0" w:color="000000"/>
              <w:bottom w:val="single" w:sz="8" w:space="0" w:color="000000"/>
              <w:right w:val="single" w:sz="8" w:space="0" w:color="000000"/>
            </w:tcBorders>
            <w:shd w:val="clear" w:color="auto" w:fill="auto"/>
          </w:tcPr>
          <w:p w14:paraId="0CBE4CF3" w14:textId="4CCF0078" w:rsidR="00B556DE" w:rsidRPr="00171C2D" w:rsidRDefault="009014F3">
            <w:pPr>
              <w:widowControl w:val="0"/>
              <w:spacing w:line="240" w:lineRule="auto"/>
              <w:rPr>
                <w:rFonts w:ascii="Avenir" w:eastAsia="Avenir" w:hAnsi="Avenir" w:cs="Avenir"/>
                <w:sz w:val="20"/>
                <w:szCs w:val="20"/>
                <w:lang w:val="en-GB"/>
              </w:rPr>
            </w:pPr>
            <w:r>
              <w:rPr>
                <w:rFonts w:ascii="Avenir" w:eastAsia="Avenir" w:hAnsi="Avenir" w:cs="Avenir"/>
                <w:sz w:val="20"/>
                <w:szCs w:val="20"/>
                <w:lang w:val="en-GB"/>
              </w:rPr>
              <w:t>GBP </w:t>
            </w:r>
            <w:r w:rsidR="000D6BB0" w:rsidRPr="00171C2D">
              <w:rPr>
                <w:rFonts w:ascii="Avenir" w:eastAsia="Avenir" w:hAnsi="Avenir" w:cs="Avenir"/>
                <w:sz w:val="20"/>
                <w:szCs w:val="20"/>
                <w:lang w:val="en-GB"/>
              </w:rPr>
              <w:t>970,534</w:t>
            </w:r>
          </w:p>
        </w:tc>
      </w:tr>
      <w:tr w:rsidR="00171C2D" w:rsidRPr="00171C2D" w14:paraId="0F71B9A8" w14:textId="77777777" w:rsidTr="0024279A">
        <w:trPr>
          <w:trHeight w:val="400"/>
        </w:trPr>
        <w:tc>
          <w:tcPr>
            <w:tcW w:w="2400" w:type="dxa"/>
            <w:tcBorders>
              <w:top w:val="single" w:sz="8" w:space="0" w:color="000000"/>
              <w:left w:val="single" w:sz="8" w:space="0" w:color="000000"/>
              <w:bottom w:val="single" w:sz="8" w:space="0" w:color="000000"/>
              <w:right w:val="single" w:sz="8" w:space="0" w:color="000000"/>
            </w:tcBorders>
            <w:shd w:val="clear" w:color="auto" w:fill="auto"/>
          </w:tcPr>
          <w:p w14:paraId="7AC3880C" w14:textId="65D2E1D6" w:rsidR="00B556DE" w:rsidRPr="00171C2D" w:rsidRDefault="000D6BB0" w:rsidP="0024279A">
            <w:pPr>
              <w:widowControl w:val="0"/>
              <w:spacing w:line="240" w:lineRule="auto"/>
              <w:ind w:left="90"/>
              <w:rPr>
                <w:rFonts w:ascii="Avenir" w:eastAsia="Avenir" w:hAnsi="Avenir" w:cs="Avenir"/>
                <w:sz w:val="20"/>
                <w:szCs w:val="20"/>
                <w:lang w:val="en-GB"/>
              </w:rPr>
            </w:pPr>
            <w:r w:rsidRPr="00171C2D">
              <w:rPr>
                <w:rFonts w:ascii="Avenir" w:eastAsia="Avenir" w:hAnsi="Avenir" w:cs="Avenir"/>
                <w:sz w:val="20"/>
                <w:szCs w:val="20"/>
                <w:lang w:val="en-GB"/>
              </w:rPr>
              <w:t>Audio editing/production</w:t>
            </w:r>
          </w:p>
        </w:tc>
        <w:tc>
          <w:tcPr>
            <w:tcW w:w="4800" w:type="dxa"/>
            <w:tcBorders>
              <w:top w:val="single" w:sz="8" w:space="0" w:color="000000"/>
              <w:left w:val="single" w:sz="8" w:space="0" w:color="000000"/>
              <w:bottom w:val="single" w:sz="8" w:space="0" w:color="000000"/>
              <w:right w:val="single" w:sz="8" w:space="0" w:color="000000"/>
            </w:tcBorders>
            <w:shd w:val="clear" w:color="auto" w:fill="auto"/>
          </w:tcPr>
          <w:p w14:paraId="3A473769" w14:textId="77777777" w:rsidR="00B556DE" w:rsidRPr="00171C2D" w:rsidRDefault="000D6BB0">
            <w:pPr>
              <w:widowControl w:val="0"/>
              <w:spacing w:line="240" w:lineRule="auto"/>
              <w:rPr>
                <w:rFonts w:ascii="Avenir" w:eastAsia="Avenir" w:hAnsi="Avenir" w:cs="Avenir"/>
                <w:sz w:val="20"/>
                <w:szCs w:val="20"/>
                <w:lang w:val="en-GB"/>
              </w:rPr>
            </w:pPr>
            <w:r w:rsidRPr="00171C2D">
              <w:rPr>
                <w:rFonts w:ascii="Avenir" w:eastAsia="Avenir" w:hAnsi="Avenir" w:cs="Avenir"/>
                <w:sz w:val="20"/>
                <w:szCs w:val="20"/>
                <w:lang w:val="en-GB"/>
              </w:rPr>
              <w:t xml:space="preserve">Audio-related editing and production </w:t>
            </w:r>
          </w:p>
        </w:tc>
        <w:tc>
          <w:tcPr>
            <w:tcW w:w="2175" w:type="dxa"/>
            <w:tcBorders>
              <w:top w:val="single" w:sz="8" w:space="0" w:color="000000"/>
              <w:left w:val="single" w:sz="8" w:space="0" w:color="000000"/>
              <w:bottom w:val="single" w:sz="8" w:space="0" w:color="000000"/>
              <w:right w:val="single" w:sz="8" w:space="0" w:color="000000"/>
            </w:tcBorders>
            <w:shd w:val="clear" w:color="auto" w:fill="auto"/>
          </w:tcPr>
          <w:p w14:paraId="59258525" w14:textId="2B7E491A" w:rsidR="00B556DE" w:rsidRPr="00171C2D" w:rsidRDefault="009014F3">
            <w:pPr>
              <w:widowControl w:val="0"/>
              <w:spacing w:line="240" w:lineRule="auto"/>
              <w:rPr>
                <w:rFonts w:ascii="Avenir" w:eastAsia="Avenir" w:hAnsi="Avenir" w:cs="Avenir"/>
                <w:sz w:val="20"/>
                <w:szCs w:val="20"/>
                <w:lang w:val="en-GB"/>
              </w:rPr>
            </w:pPr>
            <w:r>
              <w:rPr>
                <w:rFonts w:ascii="Avenir" w:eastAsia="Avenir" w:hAnsi="Avenir" w:cs="Avenir"/>
                <w:sz w:val="20"/>
                <w:szCs w:val="20"/>
                <w:lang w:val="en-GB"/>
              </w:rPr>
              <w:t>GBP </w:t>
            </w:r>
            <w:r w:rsidR="000D6BB0" w:rsidRPr="00171C2D">
              <w:rPr>
                <w:rFonts w:ascii="Avenir" w:eastAsia="Avenir" w:hAnsi="Avenir" w:cs="Avenir"/>
                <w:sz w:val="20"/>
                <w:szCs w:val="20"/>
                <w:lang w:val="en-GB"/>
              </w:rPr>
              <w:t>6,782</w:t>
            </w:r>
          </w:p>
        </w:tc>
      </w:tr>
      <w:tr w:rsidR="0024279A" w:rsidRPr="00171C2D" w14:paraId="53C6F315" w14:textId="77777777" w:rsidTr="0024279A">
        <w:trPr>
          <w:trHeight w:val="400"/>
        </w:trPr>
        <w:tc>
          <w:tcPr>
            <w:tcW w:w="2400" w:type="dxa"/>
            <w:tcBorders>
              <w:top w:val="single" w:sz="8" w:space="0" w:color="000000"/>
              <w:left w:val="single" w:sz="8" w:space="0" w:color="000000"/>
              <w:bottom w:val="single" w:sz="8" w:space="0" w:color="000000"/>
              <w:right w:val="single" w:sz="8" w:space="0" w:color="000000"/>
            </w:tcBorders>
            <w:shd w:val="clear" w:color="auto" w:fill="auto"/>
          </w:tcPr>
          <w:p w14:paraId="18EC1403" w14:textId="662EBAC9" w:rsidR="00B556DE" w:rsidRPr="00171C2D" w:rsidRDefault="000D6BB0" w:rsidP="0024279A">
            <w:pPr>
              <w:widowControl w:val="0"/>
              <w:spacing w:line="240" w:lineRule="auto"/>
              <w:ind w:left="90"/>
              <w:rPr>
                <w:rFonts w:ascii="Avenir" w:eastAsia="Avenir" w:hAnsi="Avenir" w:cs="Avenir"/>
                <w:sz w:val="20"/>
                <w:szCs w:val="20"/>
                <w:lang w:val="en-GB"/>
              </w:rPr>
            </w:pPr>
            <w:r w:rsidRPr="00171C2D">
              <w:rPr>
                <w:rFonts w:ascii="Avenir" w:eastAsia="Avenir" w:hAnsi="Avenir" w:cs="Avenir"/>
                <w:sz w:val="20"/>
                <w:szCs w:val="20"/>
                <w:lang w:val="en-GB"/>
              </w:rPr>
              <w:t>Photo editing/production</w:t>
            </w:r>
          </w:p>
        </w:tc>
        <w:tc>
          <w:tcPr>
            <w:tcW w:w="4800" w:type="dxa"/>
            <w:tcBorders>
              <w:top w:val="single" w:sz="8" w:space="0" w:color="000000"/>
              <w:left w:val="single" w:sz="8" w:space="0" w:color="000000"/>
              <w:bottom w:val="single" w:sz="8" w:space="0" w:color="000000"/>
              <w:right w:val="single" w:sz="8" w:space="0" w:color="000000"/>
            </w:tcBorders>
            <w:shd w:val="clear" w:color="auto" w:fill="auto"/>
          </w:tcPr>
          <w:p w14:paraId="33C8707C" w14:textId="77777777" w:rsidR="00B556DE" w:rsidRPr="00171C2D" w:rsidRDefault="000D6BB0">
            <w:pPr>
              <w:widowControl w:val="0"/>
              <w:spacing w:line="240" w:lineRule="auto"/>
              <w:rPr>
                <w:rFonts w:ascii="Avenir" w:eastAsia="Avenir" w:hAnsi="Avenir" w:cs="Avenir"/>
                <w:sz w:val="20"/>
                <w:szCs w:val="20"/>
                <w:lang w:val="en-GB"/>
              </w:rPr>
            </w:pPr>
            <w:r w:rsidRPr="00171C2D">
              <w:rPr>
                <w:rFonts w:ascii="Avenir" w:eastAsia="Avenir" w:hAnsi="Avenir" w:cs="Avenir"/>
                <w:sz w:val="20"/>
                <w:szCs w:val="20"/>
                <w:lang w:val="en-GB"/>
              </w:rPr>
              <w:t xml:space="preserve">Photo-related editing and production </w:t>
            </w:r>
          </w:p>
        </w:tc>
        <w:tc>
          <w:tcPr>
            <w:tcW w:w="2175" w:type="dxa"/>
            <w:tcBorders>
              <w:top w:val="single" w:sz="8" w:space="0" w:color="000000"/>
              <w:left w:val="single" w:sz="8" w:space="0" w:color="000000"/>
              <w:bottom w:val="single" w:sz="8" w:space="0" w:color="000000"/>
              <w:right w:val="single" w:sz="8" w:space="0" w:color="000000"/>
            </w:tcBorders>
            <w:shd w:val="clear" w:color="auto" w:fill="auto"/>
          </w:tcPr>
          <w:p w14:paraId="2B902422" w14:textId="406EF16C" w:rsidR="00B556DE" w:rsidRPr="00171C2D" w:rsidRDefault="009014F3">
            <w:pPr>
              <w:widowControl w:val="0"/>
              <w:spacing w:line="240" w:lineRule="auto"/>
              <w:rPr>
                <w:rFonts w:ascii="Avenir" w:eastAsia="Avenir" w:hAnsi="Avenir" w:cs="Avenir"/>
                <w:sz w:val="20"/>
                <w:szCs w:val="20"/>
                <w:lang w:val="en-GB"/>
              </w:rPr>
            </w:pPr>
            <w:r>
              <w:rPr>
                <w:rFonts w:ascii="Avenir" w:eastAsia="Avenir" w:hAnsi="Avenir" w:cs="Avenir"/>
                <w:sz w:val="20"/>
                <w:szCs w:val="20"/>
                <w:lang w:val="en-GB"/>
              </w:rPr>
              <w:t>GBP </w:t>
            </w:r>
            <w:r w:rsidR="000D6BB0" w:rsidRPr="00171C2D">
              <w:rPr>
                <w:rFonts w:ascii="Avenir" w:eastAsia="Avenir" w:hAnsi="Avenir" w:cs="Avenir"/>
                <w:sz w:val="20"/>
                <w:szCs w:val="20"/>
                <w:lang w:val="en-GB"/>
              </w:rPr>
              <w:t>99,505</w:t>
            </w:r>
          </w:p>
        </w:tc>
      </w:tr>
    </w:tbl>
    <w:p w14:paraId="6BD92ABF" w14:textId="77777777" w:rsidR="00CD2046" w:rsidRDefault="006443D1" w:rsidP="00CD2046">
      <w:pPr>
        <w:rPr>
          <w:rFonts w:ascii="Avenir" w:eastAsia="Avenir" w:hAnsi="Avenir" w:cs="Avenir"/>
          <w:lang w:val="en-GB"/>
        </w:rPr>
      </w:pPr>
      <w:r w:rsidRPr="006443D1">
        <w:rPr>
          <w:rFonts w:ascii="Avenir" w:eastAsia="Avenir" w:hAnsi="Avenir" w:cs="Avenir"/>
          <w:i/>
          <w:iCs/>
          <w:lang w:val="en-GB"/>
        </w:rPr>
        <w:t>Source</w:t>
      </w:r>
      <w:r>
        <w:rPr>
          <w:rFonts w:ascii="Avenir" w:eastAsia="Avenir" w:hAnsi="Avenir" w:cs="Avenir"/>
          <w:lang w:val="en-GB"/>
        </w:rPr>
        <w:t xml:space="preserve">: </w:t>
      </w:r>
      <w:r w:rsidR="00CD2046">
        <w:rPr>
          <w:rFonts w:ascii="Avenir" w:eastAsia="Avenir" w:hAnsi="Avenir" w:cs="Avenir"/>
          <w:lang w:val="en-GB"/>
        </w:rPr>
        <w:t>Authors´ analysis of invoices returned to the Electoral Commission for the 2019 General Election.</w:t>
      </w:r>
    </w:p>
    <w:p w14:paraId="12685874" w14:textId="0549C725" w:rsidR="00B556DE" w:rsidRPr="00171C2D" w:rsidRDefault="00B556DE">
      <w:pPr>
        <w:jc w:val="both"/>
        <w:rPr>
          <w:rFonts w:ascii="Avenir" w:eastAsia="Avenir" w:hAnsi="Avenir" w:cs="Avenir"/>
          <w:lang w:val="en-GB"/>
        </w:rPr>
      </w:pPr>
    </w:p>
    <w:p w14:paraId="48161C3A" w14:textId="77777777" w:rsidR="00B556DE" w:rsidRPr="00171C2D" w:rsidRDefault="000D6BB0">
      <w:pPr>
        <w:pStyle w:val="Heading4"/>
        <w:rPr>
          <w:color w:val="auto"/>
          <w:lang w:val="en-GB"/>
        </w:rPr>
      </w:pPr>
      <w:r w:rsidRPr="00171C2D">
        <w:rPr>
          <w:color w:val="auto"/>
          <w:lang w:val="en-GB"/>
        </w:rPr>
        <w:t>Research</w:t>
      </w:r>
    </w:p>
    <w:p w14:paraId="1345BEDB" w14:textId="05ABD52F"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The research team’s coding also produced the category heading ‘research’, which for the most part mirrored the ‘market research/canvassing’ category offered by the Electoral Commission. Capturing a slightly narrower range of activities, the team coded </w:t>
      </w:r>
      <w:r w:rsidR="009014F3">
        <w:rPr>
          <w:rFonts w:ascii="Avenir" w:eastAsia="Avenir" w:hAnsi="Avenir" w:cs="Avenir"/>
          <w:lang w:val="en-GB"/>
        </w:rPr>
        <w:t>GBP </w:t>
      </w:r>
      <w:r w:rsidRPr="00171C2D">
        <w:rPr>
          <w:rFonts w:ascii="Avenir" w:eastAsia="Avenir" w:hAnsi="Avenir" w:cs="Avenir"/>
          <w:lang w:val="en-GB"/>
        </w:rPr>
        <w:t xml:space="preserve">4,071,650 of spend under this heading, as opposed to the </w:t>
      </w:r>
      <w:r w:rsidR="009014F3">
        <w:rPr>
          <w:rFonts w:ascii="Avenir" w:eastAsia="Avenir" w:hAnsi="Avenir" w:cs="Avenir"/>
          <w:lang w:val="en-GB"/>
        </w:rPr>
        <w:t>GBP </w:t>
      </w:r>
      <w:r w:rsidRPr="00171C2D">
        <w:rPr>
          <w:rFonts w:ascii="Avenir" w:eastAsia="Avenir" w:hAnsi="Avenir" w:cs="Avenir"/>
          <w:lang w:val="en-GB"/>
        </w:rPr>
        <w:t xml:space="preserve">6,409,704 declared to the Commission as market research/canvassing. </w:t>
      </w:r>
    </w:p>
    <w:p w14:paraId="75B78C9B" w14:textId="77777777" w:rsidR="00B556DE" w:rsidRPr="00171C2D" w:rsidRDefault="00B556DE">
      <w:pPr>
        <w:jc w:val="both"/>
        <w:rPr>
          <w:rFonts w:ascii="Avenir" w:eastAsia="Avenir" w:hAnsi="Avenir" w:cs="Avenir"/>
          <w:lang w:val="en-GB"/>
        </w:rPr>
      </w:pPr>
    </w:p>
    <w:p w14:paraId="1D9A073A" w14:textId="0697A199" w:rsidR="00B556DE" w:rsidRPr="00171C2D" w:rsidRDefault="000D6BB0">
      <w:pPr>
        <w:jc w:val="both"/>
        <w:rPr>
          <w:rFonts w:ascii="Avenir" w:eastAsia="Avenir" w:hAnsi="Avenir" w:cs="Avenir"/>
          <w:b/>
          <w:bCs/>
          <w:iCs/>
          <w:lang w:val="en-GB"/>
        </w:rPr>
      </w:pPr>
      <w:r w:rsidRPr="00171C2D">
        <w:rPr>
          <w:rFonts w:ascii="Avenir" w:eastAsia="Avenir" w:hAnsi="Avenir" w:cs="Avenir"/>
          <w:b/>
          <w:bCs/>
          <w:iCs/>
          <w:lang w:val="en-GB"/>
        </w:rPr>
        <w:t>Table 9: Subcategories for the ‘research’ category, UK General Election 2019</w:t>
      </w:r>
    </w:p>
    <w:tbl>
      <w:tblPr>
        <w:tblW w:w="9345" w:type="dxa"/>
        <w:tblCellMar>
          <w:top w:w="100" w:type="dxa"/>
          <w:left w:w="100" w:type="dxa"/>
          <w:bottom w:w="100" w:type="dxa"/>
          <w:right w:w="100" w:type="dxa"/>
        </w:tblCellMar>
        <w:tblLook w:val="0600" w:firstRow="0" w:lastRow="0" w:firstColumn="0" w:lastColumn="0" w:noHBand="1" w:noVBand="1"/>
      </w:tblPr>
      <w:tblGrid>
        <w:gridCol w:w="1784"/>
        <w:gridCol w:w="5520"/>
        <w:gridCol w:w="2041"/>
      </w:tblGrid>
      <w:tr w:rsidR="00171C2D" w:rsidRPr="00171C2D" w14:paraId="52B886BC" w14:textId="77777777" w:rsidTr="006443D1">
        <w:tc>
          <w:tcPr>
            <w:tcW w:w="1784" w:type="dxa"/>
            <w:tcBorders>
              <w:top w:val="single" w:sz="8" w:space="0" w:color="000000"/>
              <w:left w:val="single" w:sz="8" w:space="0" w:color="000000"/>
              <w:bottom w:val="single" w:sz="8" w:space="0" w:color="000000"/>
              <w:right w:val="single" w:sz="8" w:space="0" w:color="000000"/>
            </w:tcBorders>
            <w:shd w:val="clear" w:color="auto" w:fill="auto"/>
          </w:tcPr>
          <w:p w14:paraId="39140BB8" w14:textId="77777777" w:rsidR="00B556DE" w:rsidRPr="00171C2D" w:rsidRDefault="000D6BB0">
            <w:pPr>
              <w:widowControl w:val="0"/>
              <w:spacing w:line="240" w:lineRule="auto"/>
              <w:rPr>
                <w:rFonts w:ascii="Avenir" w:eastAsia="Avenir" w:hAnsi="Avenir" w:cs="Avenir"/>
                <w:b/>
                <w:sz w:val="20"/>
                <w:szCs w:val="20"/>
                <w:lang w:val="en-GB"/>
              </w:rPr>
            </w:pPr>
            <w:r w:rsidRPr="00171C2D">
              <w:rPr>
                <w:rFonts w:ascii="Avenir" w:eastAsia="Avenir" w:hAnsi="Avenir" w:cs="Avenir"/>
                <w:b/>
                <w:sz w:val="20"/>
                <w:szCs w:val="20"/>
                <w:lang w:val="en-GB"/>
              </w:rPr>
              <w:t xml:space="preserve">Research </w:t>
            </w:r>
          </w:p>
        </w:tc>
        <w:tc>
          <w:tcPr>
            <w:tcW w:w="5520" w:type="dxa"/>
            <w:tcBorders>
              <w:top w:val="single" w:sz="8" w:space="0" w:color="000000"/>
              <w:left w:val="single" w:sz="8" w:space="0" w:color="000000"/>
              <w:bottom w:val="single" w:sz="8" w:space="0" w:color="000000"/>
              <w:right w:val="single" w:sz="8" w:space="0" w:color="000000"/>
            </w:tcBorders>
            <w:shd w:val="clear" w:color="auto" w:fill="auto"/>
          </w:tcPr>
          <w:p w14:paraId="51126EE7" w14:textId="77777777" w:rsidR="00B556DE" w:rsidRPr="00171C2D" w:rsidRDefault="000D6BB0">
            <w:pPr>
              <w:widowControl w:val="0"/>
              <w:spacing w:line="240" w:lineRule="auto"/>
              <w:rPr>
                <w:rFonts w:ascii="Avenir" w:eastAsia="Avenir" w:hAnsi="Avenir" w:cs="Avenir"/>
                <w:b/>
                <w:sz w:val="20"/>
                <w:szCs w:val="20"/>
                <w:lang w:val="en-GB"/>
              </w:rPr>
            </w:pPr>
            <w:r w:rsidRPr="00171C2D">
              <w:rPr>
                <w:rFonts w:ascii="Avenir" w:eastAsia="Avenir" w:hAnsi="Avenir" w:cs="Avenir"/>
                <w:b/>
                <w:sz w:val="20"/>
                <w:szCs w:val="20"/>
                <w:lang w:val="en-GB"/>
              </w:rPr>
              <w:t>Invoices relating to research contained activity designed to allow parties to gather intelligence during (and prior to) campaigns. This category has six subcategories.</w:t>
            </w:r>
          </w:p>
        </w:tc>
        <w:tc>
          <w:tcPr>
            <w:tcW w:w="2041" w:type="dxa"/>
            <w:tcBorders>
              <w:top w:val="single" w:sz="8" w:space="0" w:color="000000"/>
              <w:left w:val="single" w:sz="8" w:space="0" w:color="000000"/>
              <w:bottom w:val="single" w:sz="8" w:space="0" w:color="000000"/>
              <w:right w:val="single" w:sz="8" w:space="0" w:color="000000"/>
            </w:tcBorders>
            <w:shd w:val="clear" w:color="auto" w:fill="auto"/>
          </w:tcPr>
          <w:p w14:paraId="5F301593" w14:textId="7EDEADE7" w:rsidR="00B556DE" w:rsidRPr="00171C2D" w:rsidRDefault="000D6BB0">
            <w:pPr>
              <w:widowControl w:val="0"/>
              <w:spacing w:line="240" w:lineRule="auto"/>
              <w:rPr>
                <w:rFonts w:ascii="Avenir" w:eastAsia="Avenir" w:hAnsi="Avenir" w:cs="Avenir"/>
                <w:b/>
                <w:sz w:val="20"/>
                <w:szCs w:val="20"/>
                <w:lang w:val="en-GB"/>
              </w:rPr>
            </w:pPr>
            <w:proofErr w:type="gramStart"/>
            <w:r w:rsidRPr="00171C2D">
              <w:rPr>
                <w:rFonts w:ascii="Avenir" w:eastAsia="Avenir" w:hAnsi="Avenir" w:cs="Avenir"/>
                <w:b/>
                <w:sz w:val="20"/>
                <w:szCs w:val="20"/>
                <w:lang w:val="en-GB"/>
              </w:rPr>
              <w:t>Total</w:t>
            </w:r>
            <w:proofErr w:type="gramEnd"/>
            <w:r w:rsidRPr="00171C2D">
              <w:rPr>
                <w:rFonts w:ascii="Avenir" w:eastAsia="Avenir" w:hAnsi="Avenir" w:cs="Avenir"/>
                <w:b/>
                <w:sz w:val="20"/>
                <w:szCs w:val="20"/>
                <w:lang w:val="en-GB"/>
              </w:rPr>
              <w:t xml:space="preserve"> spend: </w:t>
            </w:r>
            <w:r w:rsidR="009014F3">
              <w:rPr>
                <w:rFonts w:ascii="Avenir" w:eastAsia="Avenir" w:hAnsi="Avenir" w:cs="Avenir"/>
                <w:b/>
                <w:sz w:val="20"/>
                <w:szCs w:val="20"/>
                <w:lang w:val="en-GB"/>
              </w:rPr>
              <w:t>GBP </w:t>
            </w:r>
            <w:r w:rsidRPr="00171C2D">
              <w:rPr>
                <w:rFonts w:ascii="Avenir" w:eastAsia="Avenir" w:hAnsi="Avenir" w:cs="Avenir"/>
                <w:b/>
                <w:sz w:val="20"/>
                <w:szCs w:val="20"/>
                <w:lang w:val="en-GB"/>
              </w:rPr>
              <w:t>4,071,430</w:t>
            </w:r>
          </w:p>
        </w:tc>
      </w:tr>
      <w:tr w:rsidR="00171C2D" w:rsidRPr="00171C2D" w14:paraId="29D00F75" w14:textId="77777777" w:rsidTr="006443D1">
        <w:tc>
          <w:tcPr>
            <w:tcW w:w="1784" w:type="dxa"/>
            <w:tcBorders>
              <w:top w:val="single" w:sz="8" w:space="0" w:color="000000"/>
              <w:left w:val="single" w:sz="8" w:space="0" w:color="000000"/>
              <w:bottom w:val="single" w:sz="8" w:space="0" w:color="000000"/>
              <w:right w:val="single" w:sz="8" w:space="0" w:color="000000"/>
            </w:tcBorders>
            <w:shd w:val="clear" w:color="auto" w:fill="auto"/>
          </w:tcPr>
          <w:p w14:paraId="0C15CE70" w14:textId="77777777" w:rsidR="00B556DE" w:rsidRPr="00171C2D" w:rsidRDefault="000D6BB0" w:rsidP="009014F3">
            <w:pPr>
              <w:widowControl w:val="0"/>
              <w:spacing w:line="240" w:lineRule="auto"/>
              <w:ind w:left="90"/>
              <w:rPr>
                <w:rFonts w:ascii="Avenir" w:eastAsia="Avenir" w:hAnsi="Avenir" w:cs="Avenir"/>
                <w:sz w:val="20"/>
                <w:szCs w:val="20"/>
                <w:lang w:val="en-GB"/>
              </w:rPr>
            </w:pPr>
            <w:r w:rsidRPr="00171C2D">
              <w:rPr>
                <w:rFonts w:ascii="Avenir" w:eastAsia="Avenir" w:hAnsi="Avenir" w:cs="Avenir"/>
                <w:sz w:val="20"/>
                <w:szCs w:val="20"/>
                <w:lang w:val="en-GB"/>
              </w:rPr>
              <w:t>Research</w:t>
            </w:r>
          </w:p>
        </w:tc>
        <w:tc>
          <w:tcPr>
            <w:tcW w:w="5520" w:type="dxa"/>
            <w:tcBorders>
              <w:top w:val="single" w:sz="8" w:space="0" w:color="000000"/>
              <w:left w:val="single" w:sz="8" w:space="0" w:color="000000"/>
              <w:bottom w:val="single" w:sz="8" w:space="0" w:color="000000"/>
              <w:right w:val="single" w:sz="8" w:space="0" w:color="000000"/>
            </w:tcBorders>
            <w:shd w:val="clear" w:color="auto" w:fill="auto"/>
          </w:tcPr>
          <w:p w14:paraId="3B9D66FE" w14:textId="77777777" w:rsidR="00B556DE" w:rsidRPr="00171C2D" w:rsidRDefault="000D6BB0">
            <w:pPr>
              <w:widowControl w:val="0"/>
              <w:spacing w:line="240" w:lineRule="auto"/>
              <w:rPr>
                <w:rFonts w:ascii="Avenir" w:eastAsia="Avenir" w:hAnsi="Avenir" w:cs="Avenir"/>
                <w:sz w:val="20"/>
                <w:szCs w:val="20"/>
                <w:lang w:val="en-GB"/>
              </w:rPr>
            </w:pPr>
            <w:r w:rsidRPr="00171C2D">
              <w:rPr>
                <w:rFonts w:ascii="Avenir" w:eastAsia="Avenir" w:hAnsi="Avenir" w:cs="Avenir"/>
                <w:sz w:val="20"/>
                <w:szCs w:val="20"/>
                <w:lang w:val="en-GB"/>
              </w:rPr>
              <w:t>Where services fell under the general category of ‘research’</w:t>
            </w:r>
          </w:p>
        </w:tc>
        <w:tc>
          <w:tcPr>
            <w:tcW w:w="2041" w:type="dxa"/>
            <w:tcBorders>
              <w:top w:val="single" w:sz="8" w:space="0" w:color="000000"/>
              <w:left w:val="single" w:sz="8" w:space="0" w:color="000000"/>
              <w:bottom w:val="single" w:sz="8" w:space="0" w:color="000000"/>
              <w:right w:val="single" w:sz="8" w:space="0" w:color="000000"/>
            </w:tcBorders>
            <w:shd w:val="clear" w:color="auto" w:fill="auto"/>
          </w:tcPr>
          <w:p w14:paraId="208502FB" w14:textId="3E69B865" w:rsidR="00B556DE" w:rsidRPr="00171C2D" w:rsidRDefault="009014F3">
            <w:pPr>
              <w:widowControl w:val="0"/>
              <w:spacing w:line="240" w:lineRule="auto"/>
              <w:rPr>
                <w:rFonts w:ascii="Avenir" w:eastAsia="Avenir" w:hAnsi="Avenir" w:cs="Avenir"/>
                <w:sz w:val="20"/>
                <w:szCs w:val="20"/>
                <w:lang w:val="en-GB"/>
              </w:rPr>
            </w:pPr>
            <w:r>
              <w:rPr>
                <w:rFonts w:ascii="Avenir" w:eastAsia="Avenir" w:hAnsi="Avenir" w:cs="Avenir"/>
                <w:sz w:val="20"/>
                <w:szCs w:val="20"/>
                <w:lang w:val="en-GB"/>
              </w:rPr>
              <w:t>GBP </w:t>
            </w:r>
            <w:r w:rsidR="000D6BB0" w:rsidRPr="00171C2D">
              <w:rPr>
                <w:rFonts w:ascii="Avenir" w:eastAsia="Avenir" w:hAnsi="Avenir" w:cs="Avenir"/>
                <w:sz w:val="20"/>
                <w:szCs w:val="20"/>
                <w:lang w:val="en-GB"/>
              </w:rPr>
              <w:t>1,191,200</w:t>
            </w:r>
          </w:p>
        </w:tc>
      </w:tr>
      <w:tr w:rsidR="00171C2D" w:rsidRPr="00171C2D" w14:paraId="214CD94A" w14:textId="77777777" w:rsidTr="006443D1">
        <w:trPr>
          <w:trHeight w:val="400"/>
        </w:trPr>
        <w:tc>
          <w:tcPr>
            <w:tcW w:w="1784" w:type="dxa"/>
            <w:tcBorders>
              <w:top w:val="single" w:sz="8" w:space="0" w:color="000000"/>
              <w:left w:val="single" w:sz="8" w:space="0" w:color="000000"/>
              <w:bottom w:val="single" w:sz="8" w:space="0" w:color="000000"/>
              <w:right w:val="single" w:sz="8" w:space="0" w:color="000000"/>
            </w:tcBorders>
            <w:shd w:val="clear" w:color="auto" w:fill="auto"/>
          </w:tcPr>
          <w:p w14:paraId="2DEDBECA" w14:textId="77777777" w:rsidR="00B556DE" w:rsidRPr="00171C2D" w:rsidRDefault="000D6BB0" w:rsidP="009014F3">
            <w:pPr>
              <w:widowControl w:val="0"/>
              <w:spacing w:line="240" w:lineRule="auto"/>
              <w:ind w:left="90"/>
              <w:rPr>
                <w:rFonts w:ascii="Avenir" w:eastAsia="Avenir" w:hAnsi="Avenir" w:cs="Avenir"/>
                <w:sz w:val="20"/>
                <w:szCs w:val="20"/>
                <w:lang w:val="en-GB"/>
              </w:rPr>
            </w:pPr>
            <w:r w:rsidRPr="00171C2D">
              <w:rPr>
                <w:rFonts w:ascii="Avenir" w:eastAsia="Avenir" w:hAnsi="Avenir" w:cs="Avenir"/>
                <w:sz w:val="20"/>
                <w:szCs w:val="20"/>
                <w:lang w:val="en-GB"/>
              </w:rPr>
              <w:t xml:space="preserve">Polling </w:t>
            </w:r>
          </w:p>
        </w:tc>
        <w:tc>
          <w:tcPr>
            <w:tcW w:w="5520" w:type="dxa"/>
            <w:tcBorders>
              <w:top w:val="single" w:sz="8" w:space="0" w:color="000000"/>
              <w:left w:val="single" w:sz="8" w:space="0" w:color="000000"/>
              <w:bottom w:val="single" w:sz="8" w:space="0" w:color="000000"/>
              <w:right w:val="single" w:sz="8" w:space="0" w:color="000000"/>
            </w:tcBorders>
            <w:shd w:val="clear" w:color="auto" w:fill="auto"/>
          </w:tcPr>
          <w:p w14:paraId="14BD2992" w14:textId="77777777" w:rsidR="00B556DE" w:rsidRPr="00171C2D" w:rsidRDefault="000D6BB0">
            <w:pPr>
              <w:widowControl w:val="0"/>
              <w:spacing w:line="240" w:lineRule="auto"/>
              <w:rPr>
                <w:rFonts w:ascii="Avenir" w:eastAsia="Avenir" w:hAnsi="Avenir" w:cs="Avenir"/>
                <w:sz w:val="20"/>
                <w:szCs w:val="20"/>
                <w:lang w:val="en-GB"/>
              </w:rPr>
            </w:pPr>
            <w:r w:rsidRPr="00171C2D">
              <w:rPr>
                <w:rFonts w:ascii="Avenir" w:eastAsia="Avenir" w:hAnsi="Avenir" w:cs="Avenir"/>
                <w:sz w:val="20"/>
                <w:szCs w:val="20"/>
                <w:lang w:val="en-GB"/>
              </w:rPr>
              <w:t>Fielding and/or reporting of opinion polls</w:t>
            </w:r>
          </w:p>
        </w:tc>
        <w:tc>
          <w:tcPr>
            <w:tcW w:w="2041" w:type="dxa"/>
            <w:tcBorders>
              <w:top w:val="single" w:sz="8" w:space="0" w:color="000000"/>
              <w:left w:val="single" w:sz="8" w:space="0" w:color="000000"/>
              <w:bottom w:val="single" w:sz="8" w:space="0" w:color="000000"/>
              <w:right w:val="single" w:sz="8" w:space="0" w:color="000000"/>
            </w:tcBorders>
            <w:shd w:val="clear" w:color="auto" w:fill="auto"/>
          </w:tcPr>
          <w:p w14:paraId="37F085E1" w14:textId="7295AB2D" w:rsidR="00B556DE" w:rsidRPr="00171C2D" w:rsidRDefault="009014F3">
            <w:pPr>
              <w:widowControl w:val="0"/>
              <w:spacing w:line="240" w:lineRule="auto"/>
              <w:rPr>
                <w:rFonts w:ascii="Avenir" w:eastAsia="Avenir" w:hAnsi="Avenir" w:cs="Avenir"/>
                <w:sz w:val="20"/>
                <w:szCs w:val="20"/>
                <w:lang w:val="en-GB"/>
              </w:rPr>
            </w:pPr>
            <w:r>
              <w:rPr>
                <w:rFonts w:ascii="Avenir" w:eastAsia="Avenir" w:hAnsi="Avenir" w:cs="Avenir"/>
                <w:sz w:val="20"/>
                <w:szCs w:val="20"/>
                <w:lang w:val="en-GB"/>
              </w:rPr>
              <w:t>GBP </w:t>
            </w:r>
            <w:r w:rsidR="000D6BB0" w:rsidRPr="00171C2D">
              <w:rPr>
                <w:rFonts w:ascii="Avenir" w:eastAsia="Avenir" w:hAnsi="Avenir" w:cs="Avenir"/>
                <w:sz w:val="20"/>
                <w:szCs w:val="20"/>
                <w:lang w:val="en-GB"/>
              </w:rPr>
              <w:t>2,285,257</w:t>
            </w:r>
          </w:p>
        </w:tc>
      </w:tr>
      <w:tr w:rsidR="00171C2D" w:rsidRPr="00171C2D" w14:paraId="05DA83C6" w14:textId="77777777" w:rsidTr="006443D1">
        <w:trPr>
          <w:trHeight w:val="400"/>
        </w:trPr>
        <w:tc>
          <w:tcPr>
            <w:tcW w:w="1784" w:type="dxa"/>
            <w:tcBorders>
              <w:top w:val="single" w:sz="8" w:space="0" w:color="000000"/>
              <w:left w:val="single" w:sz="8" w:space="0" w:color="000000"/>
              <w:bottom w:val="single" w:sz="8" w:space="0" w:color="000000"/>
              <w:right w:val="single" w:sz="8" w:space="0" w:color="000000"/>
            </w:tcBorders>
            <w:shd w:val="clear" w:color="auto" w:fill="auto"/>
          </w:tcPr>
          <w:p w14:paraId="1C38A97A" w14:textId="77777777" w:rsidR="00B556DE" w:rsidRPr="00171C2D" w:rsidRDefault="000D6BB0" w:rsidP="009014F3">
            <w:pPr>
              <w:widowControl w:val="0"/>
              <w:spacing w:line="240" w:lineRule="auto"/>
              <w:ind w:left="90"/>
              <w:rPr>
                <w:rFonts w:ascii="Avenir" w:eastAsia="Avenir" w:hAnsi="Avenir" w:cs="Avenir"/>
                <w:sz w:val="20"/>
                <w:szCs w:val="20"/>
                <w:lang w:val="en-GB"/>
              </w:rPr>
            </w:pPr>
            <w:r w:rsidRPr="00171C2D">
              <w:rPr>
                <w:rFonts w:ascii="Avenir" w:eastAsia="Avenir" w:hAnsi="Avenir" w:cs="Avenir"/>
                <w:sz w:val="20"/>
                <w:szCs w:val="20"/>
                <w:lang w:val="en-GB"/>
              </w:rPr>
              <w:t>Focus groups</w:t>
            </w:r>
          </w:p>
        </w:tc>
        <w:tc>
          <w:tcPr>
            <w:tcW w:w="5520" w:type="dxa"/>
            <w:tcBorders>
              <w:top w:val="single" w:sz="8" w:space="0" w:color="000000"/>
              <w:left w:val="single" w:sz="8" w:space="0" w:color="000000"/>
              <w:bottom w:val="single" w:sz="8" w:space="0" w:color="000000"/>
              <w:right w:val="single" w:sz="8" w:space="0" w:color="000000"/>
            </w:tcBorders>
            <w:shd w:val="clear" w:color="auto" w:fill="auto"/>
          </w:tcPr>
          <w:p w14:paraId="44CA6CA2" w14:textId="77777777" w:rsidR="00B556DE" w:rsidRPr="00171C2D" w:rsidRDefault="000D6BB0">
            <w:pPr>
              <w:widowControl w:val="0"/>
              <w:spacing w:line="240" w:lineRule="auto"/>
              <w:rPr>
                <w:rFonts w:ascii="Avenir" w:eastAsia="Avenir" w:hAnsi="Avenir" w:cs="Avenir"/>
                <w:sz w:val="20"/>
                <w:szCs w:val="20"/>
                <w:lang w:val="en-GB"/>
              </w:rPr>
            </w:pPr>
            <w:r w:rsidRPr="00171C2D">
              <w:rPr>
                <w:rFonts w:ascii="Avenir" w:eastAsia="Avenir" w:hAnsi="Avenir" w:cs="Avenir"/>
                <w:sz w:val="20"/>
                <w:szCs w:val="20"/>
                <w:lang w:val="en-GB"/>
              </w:rPr>
              <w:t>Research organizations to conduct focus groups</w:t>
            </w:r>
          </w:p>
        </w:tc>
        <w:tc>
          <w:tcPr>
            <w:tcW w:w="2041" w:type="dxa"/>
            <w:tcBorders>
              <w:top w:val="single" w:sz="8" w:space="0" w:color="000000"/>
              <w:left w:val="single" w:sz="8" w:space="0" w:color="000000"/>
              <w:bottom w:val="single" w:sz="8" w:space="0" w:color="000000"/>
              <w:right w:val="single" w:sz="8" w:space="0" w:color="000000"/>
            </w:tcBorders>
            <w:shd w:val="clear" w:color="auto" w:fill="auto"/>
          </w:tcPr>
          <w:p w14:paraId="24B66F5A" w14:textId="6BE534BA" w:rsidR="00B556DE" w:rsidRPr="00171C2D" w:rsidRDefault="009014F3">
            <w:pPr>
              <w:widowControl w:val="0"/>
              <w:spacing w:line="240" w:lineRule="auto"/>
              <w:rPr>
                <w:rFonts w:ascii="Avenir" w:eastAsia="Avenir" w:hAnsi="Avenir" w:cs="Avenir"/>
                <w:sz w:val="20"/>
                <w:szCs w:val="20"/>
                <w:lang w:val="en-GB"/>
              </w:rPr>
            </w:pPr>
            <w:r>
              <w:rPr>
                <w:rFonts w:ascii="Avenir" w:eastAsia="Avenir" w:hAnsi="Avenir" w:cs="Avenir"/>
                <w:sz w:val="20"/>
                <w:szCs w:val="20"/>
                <w:lang w:val="en-GB"/>
              </w:rPr>
              <w:t>GBP </w:t>
            </w:r>
            <w:r w:rsidR="000D6BB0" w:rsidRPr="00171C2D">
              <w:rPr>
                <w:rFonts w:ascii="Avenir" w:eastAsia="Avenir" w:hAnsi="Avenir" w:cs="Avenir"/>
                <w:sz w:val="20"/>
                <w:szCs w:val="20"/>
                <w:lang w:val="en-GB"/>
              </w:rPr>
              <w:t>106,160</w:t>
            </w:r>
          </w:p>
        </w:tc>
      </w:tr>
      <w:tr w:rsidR="00171C2D" w:rsidRPr="00171C2D" w14:paraId="2306D493" w14:textId="77777777" w:rsidTr="006443D1">
        <w:trPr>
          <w:trHeight w:val="400"/>
        </w:trPr>
        <w:tc>
          <w:tcPr>
            <w:tcW w:w="1784" w:type="dxa"/>
            <w:tcBorders>
              <w:top w:val="single" w:sz="8" w:space="0" w:color="000000"/>
              <w:left w:val="single" w:sz="8" w:space="0" w:color="000000"/>
              <w:bottom w:val="single" w:sz="8" w:space="0" w:color="000000"/>
              <w:right w:val="single" w:sz="8" w:space="0" w:color="000000"/>
            </w:tcBorders>
            <w:shd w:val="clear" w:color="auto" w:fill="auto"/>
          </w:tcPr>
          <w:p w14:paraId="2AFDFFA0" w14:textId="77777777" w:rsidR="00B556DE" w:rsidRPr="00171C2D" w:rsidRDefault="000D6BB0" w:rsidP="009014F3">
            <w:pPr>
              <w:widowControl w:val="0"/>
              <w:spacing w:line="240" w:lineRule="auto"/>
              <w:ind w:left="90"/>
              <w:rPr>
                <w:rFonts w:ascii="Avenir" w:eastAsia="Avenir" w:hAnsi="Avenir" w:cs="Avenir"/>
                <w:sz w:val="20"/>
                <w:szCs w:val="20"/>
                <w:lang w:val="en-GB"/>
              </w:rPr>
            </w:pPr>
            <w:r w:rsidRPr="00171C2D">
              <w:rPr>
                <w:rFonts w:ascii="Avenir" w:eastAsia="Avenir" w:hAnsi="Avenir" w:cs="Avenir"/>
                <w:sz w:val="20"/>
                <w:szCs w:val="20"/>
                <w:lang w:val="en-GB"/>
              </w:rPr>
              <w:t>Ordnance Survey data</w:t>
            </w:r>
          </w:p>
        </w:tc>
        <w:tc>
          <w:tcPr>
            <w:tcW w:w="5520" w:type="dxa"/>
            <w:tcBorders>
              <w:top w:val="single" w:sz="8" w:space="0" w:color="000000"/>
              <w:left w:val="single" w:sz="8" w:space="0" w:color="000000"/>
              <w:bottom w:val="single" w:sz="8" w:space="0" w:color="000000"/>
              <w:right w:val="single" w:sz="8" w:space="0" w:color="000000"/>
            </w:tcBorders>
            <w:shd w:val="clear" w:color="auto" w:fill="auto"/>
          </w:tcPr>
          <w:p w14:paraId="6D44558B" w14:textId="77777777" w:rsidR="00B556DE" w:rsidRPr="00171C2D" w:rsidRDefault="000D6BB0">
            <w:pPr>
              <w:widowControl w:val="0"/>
              <w:spacing w:line="240" w:lineRule="auto"/>
              <w:rPr>
                <w:rFonts w:ascii="Avenir" w:eastAsia="Avenir" w:hAnsi="Avenir" w:cs="Avenir"/>
                <w:sz w:val="20"/>
                <w:szCs w:val="20"/>
                <w:lang w:val="en-GB"/>
              </w:rPr>
            </w:pPr>
            <w:r w:rsidRPr="00171C2D">
              <w:rPr>
                <w:rFonts w:ascii="Avenir" w:eastAsia="Avenir" w:hAnsi="Avenir" w:cs="Avenir"/>
                <w:sz w:val="20"/>
                <w:szCs w:val="20"/>
                <w:lang w:val="en-GB"/>
              </w:rPr>
              <w:t>Data specifically supplied from Ordnance Survey for campaign activities</w:t>
            </w:r>
          </w:p>
        </w:tc>
        <w:tc>
          <w:tcPr>
            <w:tcW w:w="2041" w:type="dxa"/>
            <w:tcBorders>
              <w:top w:val="single" w:sz="8" w:space="0" w:color="000000"/>
              <w:left w:val="single" w:sz="8" w:space="0" w:color="000000"/>
              <w:bottom w:val="single" w:sz="8" w:space="0" w:color="000000"/>
              <w:right w:val="single" w:sz="8" w:space="0" w:color="000000"/>
            </w:tcBorders>
            <w:shd w:val="clear" w:color="auto" w:fill="auto"/>
          </w:tcPr>
          <w:p w14:paraId="7192AD14" w14:textId="3F9D8C8C" w:rsidR="00B556DE" w:rsidRPr="00171C2D" w:rsidRDefault="009014F3">
            <w:pPr>
              <w:widowControl w:val="0"/>
              <w:spacing w:line="240" w:lineRule="auto"/>
              <w:rPr>
                <w:rFonts w:ascii="Avenir" w:eastAsia="Avenir" w:hAnsi="Avenir" w:cs="Avenir"/>
                <w:sz w:val="20"/>
                <w:szCs w:val="20"/>
                <w:lang w:val="en-GB"/>
              </w:rPr>
            </w:pPr>
            <w:r>
              <w:rPr>
                <w:rFonts w:ascii="Avenir" w:eastAsia="Avenir" w:hAnsi="Avenir" w:cs="Avenir"/>
                <w:sz w:val="20"/>
                <w:szCs w:val="20"/>
                <w:lang w:val="en-GB"/>
              </w:rPr>
              <w:t>GBP </w:t>
            </w:r>
            <w:r w:rsidR="000D6BB0" w:rsidRPr="00171C2D">
              <w:rPr>
                <w:rFonts w:ascii="Avenir" w:eastAsia="Avenir" w:hAnsi="Avenir" w:cs="Avenir"/>
                <w:sz w:val="20"/>
                <w:szCs w:val="20"/>
                <w:lang w:val="en-GB"/>
              </w:rPr>
              <w:t>151,458</w:t>
            </w:r>
          </w:p>
        </w:tc>
      </w:tr>
      <w:tr w:rsidR="00171C2D" w:rsidRPr="00171C2D" w14:paraId="2FA3E1AF" w14:textId="77777777" w:rsidTr="006443D1">
        <w:trPr>
          <w:trHeight w:val="400"/>
        </w:trPr>
        <w:tc>
          <w:tcPr>
            <w:tcW w:w="1784" w:type="dxa"/>
            <w:tcBorders>
              <w:top w:val="single" w:sz="8" w:space="0" w:color="000000"/>
              <w:left w:val="single" w:sz="8" w:space="0" w:color="000000"/>
              <w:bottom w:val="single" w:sz="8" w:space="0" w:color="000000"/>
              <w:right w:val="single" w:sz="8" w:space="0" w:color="000000"/>
            </w:tcBorders>
            <w:shd w:val="clear" w:color="auto" w:fill="auto"/>
          </w:tcPr>
          <w:p w14:paraId="5815CC10" w14:textId="77777777" w:rsidR="00B556DE" w:rsidRPr="00171C2D" w:rsidRDefault="000D6BB0" w:rsidP="006443D1">
            <w:pPr>
              <w:widowControl w:val="0"/>
              <w:spacing w:line="240" w:lineRule="auto"/>
              <w:ind w:left="90"/>
              <w:rPr>
                <w:rFonts w:ascii="Avenir" w:eastAsia="Avenir" w:hAnsi="Avenir" w:cs="Avenir"/>
                <w:sz w:val="20"/>
                <w:szCs w:val="20"/>
                <w:lang w:val="en-GB"/>
              </w:rPr>
            </w:pPr>
            <w:r w:rsidRPr="00171C2D">
              <w:rPr>
                <w:rFonts w:ascii="Avenir" w:eastAsia="Avenir" w:hAnsi="Avenir" w:cs="Avenir"/>
                <w:sz w:val="20"/>
                <w:szCs w:val="20"/>
                <w:lang w:val="en-GB"/>
              </w:rPr>
              <w:t>Message testing</w:t>
            </w:r>
          </w:p>
        </w:tc>
        <w:tc>
          <w:tcPr>
            <w:tcW w:w="5520" w:type="dxa"/>
            <w:tcBorders>
              <w:top w:val="single" w:sz="8" w:space="0" w:color="000000"/>
              <w:left w:val="single" w:sz="8" w:space="0" w:color="000000"/>
              <w:bottom w:val="single" w:sz="8" w:space="0" w:color="000000"/>
              <w:right w:val="single" w:sz="8" w:space="0" w:color="000000"/>
            </w:tcBorders>
            <w:shd w:val="clear" w:color="auto" w:fill="auto"/>
          </w:tcPr>
          <w:p w14:paraId="574278A6" w14:textId="77777777" w:rsidR="00B556DE" w:rsidRPr="00171C2D" w:rsidRDefault="000D6BB0">
            <w:pPr>
              <w:widowControl w:val="0"/>
              <w:spacing w:line="240" w:lineRule="auto"/>
              <w:rPr>
                <w:rFonts w:ascii="Avenir" w:eastAsia="Avenir" w:hAnsi="Avenir" w:cs="Avenir"/>
                <w:sz w:val="20"/>
                <w:szCs w:val="20"/>
                <w:lang w:val="en-GB"/>
              </w:rPr>
            </w:pPr>
            <w:r w:rsidRPr="00171C2D">
              <w:rPr>
                <w:rFonts w:ascii="Avenir" w:eastAsia="Avenir" w:hAnsi="Avenir" w:cs="Avenir"/>
                <w:sz w:val="20"/>
                <w:szCs w:val="20"/>
                <w:lang w:val="en-GB"/>
              </w:rPr>
              <w:t>Campaign message testing services, or accommodate message testing more generally</w:t>
            </w:r>
          </w:p>
        </w:tc>
        <w:tc>
          <w:tcPr>
            <w:tcW w:w="2041" w:type="dxa"/>
            <w:tcBorders>
              <w:top w:val="single" w:sz="8" w:space="0" w:color="000000"/>
              <w:left w:val="single" w:sz="8" w:space="0" w:color="000000"/>
              <w:bottom w:val="single" w:sz="8" w:space="0" w:color="000000"/>
              <w:right w:val="single" w:sz="8" w:space="0" w:color="000000"/>
            </w:tcBorders>
            <w:shd w:val="clear" w:color="auto" w:fill="auto"/>
          </w:tcPr>
          <w:p w14:paraId="2C1B554B" w14:textId="3088D0C4" w:rsidR="00B556DE" w:rsidRPr="00171C2D" w:rsidRDefault="009014F3">
            <w:pPr>
              <w:widowControl w:val="0"/>
              <w:spacing w:line="240" w:lineRule="auto"/>
              <w:rPr>
                <w:rFonts w:ascii="Avenir" w:eastAsia="Avenir" w:hAnsi="Avenir" w:cs="Avenir"/>
                <w:sz w:val="20"/>
                <w:szCs w:val="20"/>
                <w:lang w:val="en-GB"/>
              </w:rPr>
            </w:pPr>
            <w:r>
              <w:rPr>
                <w:rFonts w:ascii="Avenir" w:eastAsia="Avenir" w:hAnsi="Avenir" w:cs="Avenir"/>
                <w:sz w:val="20"/>
                <w:szCs w:val="20"/>
                <w:lang w:val="en-GB"/>
              </w:rPr>
              <w:t>GBP </w:t>
            </w:r>
            <w:r w:rsidR="000D6BB0" w:rsidRPr="00171C2D">
              <w:rPr>
                <w:rFonts w:ascii="Avenir" w:eastAsia="Avenir" w:hAnsi="Avenir" w:cs="Avenir"/>
                <w:sz w:val="20"/>
                <w:szCs w:val="20"/>
                <w:lang w:val="en-GB"/>
              </w:rPr>
              <w:t>308,885</w:t>
            </w:r>
          </w:p>
        </w:tc>
      </w:tr>
      <w:tr w:rsidR="00171C2D" w:rsidRPr="00171C2D" w14:paraId="5DE72754" w14:textId="77777777" w:rsidTr="006443D1">
        <w:trPr>
          <w:trHeight w:val="400"/>
        </w:trPr>
        <w:tc>
          <w:tcPr>
            <w:tcW w:w="1784" w:type="dxa"/>
            <w:tcBorders>
              <w:top w:val="single" w:sz="8" w:space="0" w:color="000000"/>
              <w:left w:val="single" w:sz="8" w:space="0" w:color="000000"/>
              <w:bottom w:val="single" w:sz="8" w:space="0" w:color="000000"/>
              <w:right w:val="single" w:sz="8" w:space="0" w:color="000000"/>
            </w:tcBorders>
            <w:shd w:val="clear" w:color="auto" w:fill="auto"/>
          </w:tcPr>
          <w:p w14:paraId="3D15BC55" w14:textId="77777777" w:rsidR="00B556DE" w:rsidRPr="00171C2D" w:rsidRDefault="000D6BB0" w:rsidP="006443D1">
            <w:pPr>
              <w:widowControl w:val="0"/>
              <w:spacing w:line="240" w:lineRule="auto"/>
              <w:ind w:left="90"/>
              <w:rPr>
                <w:rFonts w:ascii="Avenir" w:eastAsia="Avenir" w:hAnsi="Avenir" w:cs="Avenir"/>
                <w:sz w:val="20"/>
                <w:szCs w:val="20"/>
                <w:lang w:val="en-GB"/>
              </w:rPr>
            </w:pPr>
            <w:r w:rsidRPr="00171C2D">
              <w:rPr>
                <w:rFonts w:ascii="Avenir" w:eastAsia="Avenir" w:hAnsi="Avenir" w:cs="Avenir"/>
                <w:sz w:val="20"/>
                <w:szCs w:val="20"/>
                <w:lang w:val="en-GB"/>
              </w:rPr>
              <w:t>Archival research</w:t>
            </w:r>
          </w:p>
        </w:tc>
        <w:tc>
          <w:tcPr>
            <w:tcW w:w="5520" w:type="dxa"/>
            <w:tcBorders>
              <w:top w:val="single" w:sz="8" w:space="0" w:color="000000"/>
              <w:left w:val="single" w:sz="8" w:space="0" w:color="000000"/>
              <w:bottom w:val="single" w:sz="8" w:space="0" w:color="000000"/>
              <w:right w:val="single" w:sz="8" w:space="0" w:color="000000"/>
            </w:tcBorders>
            <w:shd w:val="clear" w:color="auto" w:fill="auto"/>
          </w:tcPr>
          <w:p w14:paraId="05E6E6D8" w14:textId="77777777" w:rsidR="00B556DE" w:rsidRPr="00171C2D" w:rsidRDefault="000D6BB0">
            <w:pPr>
              <w:widowControl w:val="0"/>
              <w:spacing w:line="240" w:lineRule="auto"/>
              <w:rPr>
                <w:rFonts w:ascii="Avenir" w:eastAsia="Avenir" w:hAnsi="Avenir" w:cs="Avenir"/>
                <w:sz w:val="20"/>
                <w:szCs w:val="20"/>
                <w:lang w:val="en-GB"/>
              </w:rPr>
            </w:pPr>
            <w:r w:rsidRPr="00171C2D">
              <w:rPr>
                <w:rFonts w:ascii="Avenir" w:eastAsia="Avenir" w:hAnsi="Avenir" w:cs="Avenir"/>
                <w:sz w:val="20"/>
                <w:szCs w:val="20"/>
                <w:lang w:val="en-GB"/>
              </w:rPr>
              <w:t>Historical and archival research</w:t>
            </w:r>
          </w:p>
        </w:tc>
        <w:tc>
          <w:tcPr>
            <w:tcW w:w="2041" w:type="dxa"/>
            <w:tcBorders>
              <w:top w:val="single" w:sz="8" w:space="0" w:color="000000"/>
              <w:left w:val="single" w:sz="8" w:space="0" w:color="000000"/>
              <w:bottom w:val="single" w:sz="8" w:space="0" w:color="000000"/>
              <w:right w:val="single" w:sz="8" w:space="0" w:color="000000"/>
            </w:tcBorders>
            <w:shd w:val="clear" w:color="auto" w:fill="auto"/>
          </w:tcPr>
          <w:p w14:paraId="06329768" w14:textId="06CE8B1A" w:rsidR="00B556DE" w:rsidRPr="00171C2D" w:rsidRDefault="009014F3">
            <w:pPr>
              <w:widowControl w:val="0"/>
              <w:spacing w:line="240" w:lineRule="auto"/>
              <w:rPr>
                <w:rFonts w:ascii="Avenir" w:eastAsia="Avenir" w:hAnsi="Avenir" w:cs="Avenir"/>
                <w:sz w:val="20"/>
                <w:szCs w:val="20"/>
                <w:lang w:val="en-GB"/>
              </w:rPr>
            </w:pPr>
            <w:r>
              <w:rPr>
                <w:rFonts w:ascii="Avenir" w:eastAsia="Avenir" w:hAnsi="Avenir" w:cs="Avenir"/>
                <w:sz w:val="20"/>
                <w:szCs w:val="20"/>
                <w:lang w:val="en-GB"/>
              </w:rPr>
              <w:t>GBP </w:t>
            </w:r>
            <w:r w:rsidR="000D6BB0" w:rsidRPr="00171C2D">
              <w:rPr>
                <w:rFonts w:ascii="Avenir" w:eastAsia="Avenir" w:hAnsi="Avenir" w:cs="Avenir"/>
                <w:sz w:val="20"/>
                <w:szCs w:val="20"/>
                <w:lang w:val="en-GB"/>
              </w:rPr>
              <w:t>1,080</w:t>
            </w:r>
          </w:p>
        </w:tc>
      </w:tr>
      <w:tr w:rsidR="006443D1" w:rsidRPr="00171C2D" w14:paraId="32A1F4B6" w14:textId="77777777" w:rsidTr="006443D1">
        <w:trPr>
          <w:trHeight w:val="400"/>
        </w:trPr>
        <w:tc>
          <w:tcPr>
            <w:tcW w:w="1784" w:type="dxa"/>
            <w:tcBorders>
              <w:top w:val="single" w:sz="8" w:space="0" w:color="000000"/>
              <w:left w:val="single" w:sz="8" w:space="0" w:color="000000"/>
              <w:bottom w:val="single" w:sz="8" w:space="0" w:color="000000"/>
              <w:right w:val="single" w:sz="8" w:space="0" w:color="000000"/>
            </w:tcBorders>
            <w:shd w:val="clear" w:color="auto" w:fill="auto"/>
          </w:tcPr>
          <w:p w14:paraId="07DCA45A" w14:textId="77777777" w:rsidR="00B556DE" w:rsidRPr="00171C2D" w:rsidRDefault="000D6BB0" w:rsidP="006443D1">
            <w:pPr>
              <w:widowControl w:val="0"/>
              <w:spacing w:line="240" w:lineRule="auto"/>
              <w:ind w:left="90"/>
              <w:rPr>
                <w:rFonts w:ascii="Avenir" w:eastAsia="Avenir" w:hAnsi="Avenir" w:cs="Avenir"/>
                <w:sz w:val="20"/>
                <w:szCs w:val="20"/>
                <w:lang w:val="en-GB"/>
              </w:rPr>
            </w:pPr>
            <w:r w:rsidRPr="00171C2D">
              <w:rPr>
                <w:rFonts w:ascii="Avenir" w:eastAsia="Avenir" w:hAnsi="Avenir" w:cs="Avenir"/>
                <w:sz w:val="20"/>
                <w:szCs w:val="20"/>
                <w:lang w:val="en-GB"/>
              </w:rPr>
              <w:t>Other forms of research</w:t>
            </w:r>
          </w:p>
        </w:tc>
        <w:tc>
          <w:tcPr>
            <w:tcW w:w="5520" w:type="dxa"/>
            <w:tcBorders>
              <w:top w:val="single" w:sz="8" w:space="0" w:color="000000"/>
              <w:left w:val="single" w:sz="8" w:space="0" w:color="000000"/>
              <w:bottom w:val="single" w:sz="8" w:space="0" w:color="000000"/>
              <w:right w:val="single" w:sz="8" w:space="0" w:color="000000"/>
            </w:tcBorders>
            <w:shd w:val="clear" w:color="auto" w:fill="auto"/>
          </w:tcPr>
          <w:p w14:paraId="3699B436" w14:textId="52FEBD3C" w:rsidR="00B556DE" w:rsidRPr="00171C2D" w:rsidRDefault="000D6BB0">
            <w:pPr>
              <w:widowControl w:val="0"/>
              <w:spacing w:line="240" w:lineRule="auto"/>
              <w:rPr>
                <w:rFonts w:ascii="Avenir" w:eastAsia="Avenir" w:hAnsi="Avenir" w:cs="Avenir"/>
                <w:sz w:val="20"/>
                <w:szCs w:val="20"/>
                <w:lang w:val="en-GB"/>
              </w:rPr>
            </w:pPr>
            <w:r w:rsidRPr="00171C2D">
              <w:rPr>
                <w:rFonts w:ascii="Avenir" w:eastAsia="Avenir" w:hAnsi="Avenir" w:cs="Avenir"/>
                <w:sz w:val="20"/>
                <w:szCs w:val="20"/>
                <w:lang w:val="en-GB"/>
              </w:rPr>
              <w:t>Paid research that doesn’t fit into the above categories (</w:t>
            </w:r>
            <w:r w:rsidR="003C3793" w:rsidRPr="00171C2D">
              <w:rPr>
                <w:rFonts w:ascii="Avenir" w:eastAsia="Avenir" w:hAnsi="Avenir" w:cs="Avenir"/>
                <w:sz w:val="20"/>
                <w:szCs w:val="20"/>
                <w:lang w:val="en-GB"/>
              </w:rPr>
              <w:t>e.g.,</w:t>
            </w:r>
            <w:r w:rsidRPr="00171C2D">
              <w:rPr>
                <w:rFonts w:ascii="Avenir" w:eastAsia="Avenir" w:hAnsi="Avenir" w:cs="Avenir"/>
                <w:sz w:val="20"/>
                <w:szCs w:val="20"/>
                <w:lang w:val="en-GB"/>
              </w:rPr>
              <w:t xml:space="preserve"> NHS data extraction)</w:t>
            </w:r>
          </w:p>
        </w:tc>
        <w:tc>
          <w:tcPr>
            <w:tcW w:w="2041" w:type="dxa"/>
            <w:tcBorders>
              <w:top w:val="single" w:sz="8" w:space="0" w:color="000000"/>
              <w:left w:val="single" w:sz="8" w:space="0" w:color="000000"/>
              <w:bottom w:val="single" w:sz="8" w:space="0" w:color="000000"/>
              <w:right w:val="single" w:sz="8" w:space="0" w:color="000000"/>
            </w:tcBorders>
            <w:shd w:val="clear" w:color="auto" w:fill="auto"/>
          </w:tcPr>
          <w:p w14:paraId="41A35934" w14:textId="6DFF4805" w:rsidR="00B556DE" w:rsidRPr="00171C2D" w:rsidRDefault="009014F3">
            <w:pPr>
              <w:widowControl w:val="0"/>
              <w:spacing w:line="240" w:lineRule="auto"/>
              <w:rPr>
                <w:rFonts w:ascii="Avenir" w:eastAsia="Avenir" w:hAnsi="Avenir" w:cs="Avenir"/>
                <w:sz w:val="20"/>
                <w:szCs w:val="20"/>
                <w:lang w:val="en-GB"/>
              </w:rPr>
            </w:pPr>
            <w:r>
              <w:rPr>
                <w:rFonts w:ascii="Avenir" w:eastAsia="Avenir" w:hAnsi="Avenir" w:cs="Avenir"/>
                <w:sz w:val="20"/>
                <w:szCs w:val="20"/>
                <w:lang w:val="en-GB"/>
              </w:rPr>
              <w:t>GBP </w:t>
            </w:r>
            <w:r w:rsidR="000D6BB0" w:rsidRPr="00171C2D">
              <w:rPr>
                <w:rFonts w:ascii="Avenir" w:eastAsia="Avenir" w:hAnsi="Avenir" w:cs="Avenir"/>
                <w:sz w:val="20"/>
                <w:szCs w:val="20"/>
                <w:lang w:val="en-GB"/>
              </w:rPr>
              <w:t>27,609</w:t>
            </w:r>
          </w:p>
        </w:tc>
      </w:tr>
    </w:tbl>
    <w:p w14:paraId="7A697D53" w14:textId="7CA3D7E7" w:rsidR="00CD2046" w:rsidRDefault="006443D1" w:rsidP="00CD2046">
      <w:pPr>
        <w:rPr>
          <w:rFonts w:ascii="Avenir" w:eastAsia="Avenir" w:hAnsi="Avenir" w:cs="Avenir"/>
          <w:lang w:val="en-GB"/>
        </w:rPr>
      </w:pPr>
      <w:r w:rsidRPr="006443D1">
        <w:rPr>
          <w:rFonts w:ascii="Avenir" w:eastAsia="Avenir" w:hAnsi="Avenir" w:cs="Avenir"/>
          <w:i/>
          <w:iCs/>
          <w:lang w:val="en-GB"/>
        </w:rPr>
        <w:lastRenderedPageBreak/>
        <w:t>Source</w:t>
      </w:r>
      <w:r>
        <w:rPr>
          <w:rFonts w:ascii="Avenir" w:eastAsia="Avenir" w:hAnsi="Avenir" w:cs="Avenir"/>
          <w:lang w:val="en-GB"/>
        </w:rPr>
        <w:t>:</w:t>
      </w:r>
      <w:r w:rsidR="00CD2046" w:rsidRPr="00CD2046">
        <w:rPr>
          <w:rFonts w:ascii="Avenir" w:eastAsia="Avenir" w:hAnsi="Avenir" w:cs="Avenir"/>
          <w:lang w:val="en-GB"/>
        </w:rPr>
        <w:t xml:space="preserve"> </w:t>
      </w:r>
      <w:r w:rsidR="00CD2046">
        <w:rPr>
          <w:rFonts w:ascii="Avenir" w:eastAsia="Avenir" w:hAnsi="Avenir" w:cs="Avenir"/>
          <w:lang w:val="en-GB"/>
        </w:rPr>
        <w:t>Authors´ analysis of invoices returned to the Electoral Commission for the 2019 General Election.</w:t>
      </w:r>
    </w:p>
    <w:p w14:paraId="0A35B546" w14:textId="3BF9E3C5" w:rsidR="00B556DE" w:rsidRDefault="00B556DE">
      <w:pPr>
        <w:jc w:val="both"/>
        <w:rPr>
          <w:rFonts w:ascii="Avenir" w:eastAsia="Avenir" w:hAnsi="Avenir" w:cs="Avenir"/>
          <w:lang w:val="en-GB"/>
        </w:rPr>
      </w:pPr>
    </w:p>
    <w:p w14:paraId="54E9D244" w14:textId="77777777" w:rsidR="006443D1" w:rsidRPr="00171C2D" w:rsidRDefault="006443D1">
      <w:pPr>
        <w:jc w:val="both"/>
        <w:rPr>
          <w:rFonts w:ascii="Avenir" w:eastAsia="Avenir" w:hAnsi="Avenir" w:cs="Avenir"/>
          <w:lang w:val="en-GB"/>
        </w:rPr>
      </w:pPr>
    </w:p>
    <w:p w14:paraId="4977F906" w14:textId="240FDE9D" w:rsidR="00B556DE" w:rsidRPr="00171C2D" w:rsidRDefault="000D6BB0">
      <w:pPr>
        <w:jc w:val="both"/>
        <w:rPr>
          <w:rFonts w:ascii="Avenir" w:eastAsia="Avenir" w:hAnsi="Avenir" w:cs="Avenir"/>
          <w:lang w:val="en-GB"/>
        </w:rPr>
      </w:pPr>
      <w:r w:rsidRPr="00171C2D">
        <w:rPr>
          <w:rFonts w:ascii="Avenir" w:eastAsia="Avenir" w:hAnsi="Avenir" w:cs="Avenir"/>
          <w:lang w:val="en-GB"/>
        </w:rPr>
        <w:t>This category was composed of six subcategories that capture the diversity of research activity that suppliers are paid to conduct (see Table</w:t>
      </w:r>
      <w:r w:rsidR="006443D1">
        <w:rPr>
          <w:rFonts w:ascii="Avenir" w:eastAsia="Avenir" w:hAnsi="Avenir" w:cs="Avenir"/>
          <w:lang w:val="en-GB"/>
        </w:rPr>
        <w:t> </w:t>
      </w:r>
      <w:r w:rsidRPr="00171C2D">
        <w:rPr>
          <w:rFonts w:ascii="Avenir" w:eastAsia="Avenir" w:hAnsi="Avenir" w:cs="Avenir"/>
          <w:lang w:val="en-GB"/>
        </w:rPr>
        <w:t xml:space="preserve">9). Parties declared the highest spend on polling and general research activities—with these activities together accounting for </w:t>
      </w:r>
      <w:r w:rsidR="009014F3">
        <w:rPr>
          <w:rFonts w:ascii="Avenir" w:eastAsia="Avenir" w:hAnsi="Avenir" w:cs="Avenir"/>
          <w:lang w:val="en-GB"/>
        </w:rPr>
        <w:t>GBP </w:t>
      </w:r>
      <w:r w:rsidRPr="00171C2D">
        <w:rPr>
          <w:rFonts w:ascii="Avenir" w:eastAsia="Avenir" w:hAnsi="Avenir" w:cs="Avenir"/>
          <w:lang w:val="en-GB"/>
        </w:rPr>
        <w:t xml:space="preserve">3,476,457 (or 85.4 per cent) of the total research expenditure. The other forms of research, such as focus groups and archival research, demanded less spend. However, as suggested above, it may be that funding is devoted to these activities ahead of the election period when formulating campaign messaging. Notably, within this category there is also limited spend devoted to message testing. This indicates that—despite an emphasis on data-driven campaigning and message testing—this technique is either not extensively used, or that the analysis of the findings from social media advertising is conducted by in-house staff, or that message testing is part of the wider ‘social media advertising’ service that providers like Facebook offer (as the research team found when coding the Facebook invoices). </w:t>
      </w:r>
    </w:p>
    <w:p w14:paraId="1A9936AB" w14:textId="77777777" w:rsidR="00B556DE" w:rsidRPr="00171C2D" w:rsidRDefault="00B556DE">
      <w:pPr>
        <w:jc w:val="both"/>
        <w:rPr>
          <w:rFonts w:ascii="Avenir" w:eastAsia="Avenir" w:hAnsi="Avenir" w:cs="Avenir"/>
          <w:lang w:val="en-GB"/>
        </w:rPr>
      </w:pPr>
    </w:p>
    <w:p w14:paraId="02D30FA6" w14:textId="77777777" w:rsidR="00B556DE" w:rsidRPr="00171C2D" w:rsidRDefault="000D6BB0">
      <w:pPr>
        <w:pStyle w:val="Heading4"/>
        <w:rPr>
          <w:color w:val="auto"/>
          <w:lang w:val="en-GB"/>
        </w:rPr>
      </w:pPr>
      <w:r w:rsidRPr="00171C2D">
        <w:rPr>
          <w:color w:val="auto"/>
          <w:lang w:val="en-GB"/>
        </w:rPr>
        <w:t>Data and infrastructure</w:t>
      </w:r>
    </w:p>
    <w:p w14:paraId="760BF864" w14:textId="5AC1BBBA"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The category of data and infrastructure captures a particular type of activity not differentiated in the current Electoral Commission category headings, which relates to parties’ data infrastructure and technological operations. This category accounts for </w:t>
      </w:r>
      <w:r w:rsidR="009014F3">
        <w:rPr>
          <w:rFonts w:ascii="Avenir" w:eastAsia="Avenir" w:hAnsi="Avenir" w:cs="Avenir"/>
          <w:lang w:val="en-GB"/>
        </w:rPr>
        <w:t>GBP </w:t>
      </w:r>
      <w:r w:rsidRPr="00171C2D">
        <w:rPr>
          <w:rFonts w:ascii="Avenir" w:eastAsia="Avenir" w:hAnsi="Avenir" w:cs="Avenir"/>
          <w:lang w:val="en-GB"/>
        </w:rPr>
        <w:t>2,022,103 or 4.2 per cent of total expenditure. The research team identified seven subcategories that capture activity devoted to, for example, campaign databases, IT infrastructure and websites (see Table 10). The three most prominent subcategories under this heading are IT infrastructure and support (</w:t>
      </w:r>
      <w:r w:rsidR="009014F3">
        <w:rPr>
          <w:rFonts w:ascii="Avenir" w:eastAsia="Avenir" w:hAnsi="Avenir" w:cs="Avenir"/>
          <w:lang w:val="en-GB"/>
        </w:rPr>
        <w:t>GBP </w:t>
      </w:r>
      <w:r w:rsidRPr="00171C2D">
        <w:rPr>
          <w:rFonts w:ascii="Avenir" w:eastAsia="Avenir" w:hAnsi="Avenir" w:cs="Avenir"/>
          <w:lang w:val="en-GB"/>
        </w:rPr>
        <w:t>696,140), campaign database management (</w:t>
      </w:r>
      <w:r w:rsidR="009014F3">
        <w:rPr>
          <w:rFonts w:ascii="Avenir" w:eastAsia="Avenir" w:hAnsi="Avenir" w:cs="Avenir"/>
          <w:lang w:val="en-GB"/>
        </w:rPr>
        <w:t>GBP </w:t>
      </w:r>
      <w:r w:rsidRPr="00171C2D">
        <w:rPr>
          <w:rFonts w:ascii="Avenir" w:eastAsia="Avenir" w:hAnsi="Avenir" w:cs="Avenir"/>
          <w:lang w:val="en-GB"/>
        </w:rPr>
        <w:t>644,362), and data services and analysis (</w:t>
      </w:r>
      <w:r w:rsidR="009014F3">
        <w:rPr>
          <w:rFonts w:ascii="Avenir" w:eastAsia="Avenir" w:hAnsi="Avenir" w:cs="Avenir"/>
          <w:lang w:val="en-GB"/>
        </w:rPr>
        <w:t>GBP </w:t>
      </w:r>
      <w:r w:rsidRPr="00171C2D">
        <w:rPr>
          <w:rFonts w:ascii="Avenir" w:eastAsia="Avenir" w:hAnsi="Avenir" w:cs="Avenir"/>
          <w:lang w:val="en-GB"/>
        </w:rPr>
        <w:t xml:space="preserve">302,140). What is, however, again unclear is how much is devoted to these activities outside elections, when systems and infrastructure are just as likely to remain a focus of investment. </w:t>
      </w:r>
    </w:p>
    <w:p w14:paraId="44451129" w14:textId="77777777" w:rsidR="00B556DE" w:rsidRPr="00171C2D" w:rsidRDefault="00B556DE">
      <w:pPr>
        <w:jc w:val="both"/>
        <w:rPr>
          <w:rFonts w:ascii="Avenir" w:eastAsia="Avenir" w:hAnsi="Avenir" w:cs="Avenir"/>
          <w:lang w:val="en-GB"/>
        </w:rPr>
      </w:pPr>
    </w:p>
    <w:p w14:paraId="28B033FA" w14:textId="27A650E9" w:rsidR="00B556DE" w:rsidRPr="00171C2D" w:rsidRDefault="000D6BB0">
      <w:pPr>
        <w:jc w:val="both"/>
        <w:rPr>
          <w:rFonts w:ascii="Avenir" w:eastAsia="Avenir" w:hAnsi="Avenir" w:cs="Avenir"/>
          <w:b/>
          <w:bCs/>
          <w:iCs/>
          <w:lang w:val="en-GB"/>
        </w:rPr>
      </w:pPr>
      <w:r w:rsidRPr="00171C2D">
        <w:rPr>
          <w:rFonts w:ascii="Avenir" w:eastAsia="Avenir" w:hAnsi="Avenir" w:cs="Avenir"/>
          <w:b/>
          <w:bCs/>
          <w:iCs/>
          <w:lang w:val="en-GB"/>
        </w:rPr>
        <w:t>Table 10: Subcategories for the ‘data and infrastructure’ category</w:t>
      </w:r>
    </w:p>
    <w:tbl>
      <w:tblPr>
        <w:tblW w:w="9345" w:type="dxa"/>
        <w:tblCellMar>
          <w:top w:w="100" w:type="dxa"/>
          <w:left w:w="100" w:type="dxa"/>
          <w:bottom w:w="100" w:type="dxa"/>
          <w:right w:w="100" w:type="dxa"/>
        </w:tblCellMar>
        <w:tblLook w:val="0600" w:firstRow="0" w:lastRow="0" w:firstColumn="0" w:lastColumn="0" w:noHBand="1" w:noVBand="1"/>
      </w:tblPr>
      <w:tblGrid>
        <w:gridCol w:w="2550"/>
        <w:gridCol w:w="4860"/>
        <w:gridCol w:w="1935"/>
      </w:tblGrid>
      <w:tr w:rsidR="00171C2D" w:rsidRPr="00171C2D" w14:paraId="085D31C7" w14:textId="77777777" w:rsidTr="006443D1">
        <w:tc>
          <w:tcPr>
            <w:tcW w:w="2550" w:type="dxa"/>
            <w:tcBorders>
              <w:top w:val="single" w:sz="8" w:space="0" w:color="000000"/>
              <w:left w:val="single" w:sz="8" w:space="0" w:color="000000"/>
              <w:bottom w:val="single" w:sz="8" w:space="0" w:color="000000"/>
              <w:right w:val="single" w:sz="8" w:space="0" w:color="000000"/>
            </w:tcBorders>
            <w:shd w:val="clear" w:color="auto" w:fill="auto"/>
          </w:tcPr>
          <w:p w14:paraId="0AC6CEBF" w14:textId="77777777" w:rsidR="00B556DE" w:rsidRPr="00171C2D" w:rsidRDefault="000D6BB0">
            <w:pPr>
              <w:widowControl w:val="0"/>
              <w:spacing w:line="240" w:lineRule="auto"/>
              <w:rPr>
                <w:rFonts w:ascii="Avenir" w:eastAsia="Avenir" w:hAnsi="Avenir" w:cs="Avenir"/>
                <w:b/>
                <w:sz w:val="20"/>
                <w:szCs w:val="20"/>
                <w:lang w:val="en-GB"/>
              </w:rPr>
            </w:pPr>
            <w:r w:rsidRPr="00171C2D">
              <w:rPr>
                <w:rFonts w:ascii="Avenir" w:eastAsia="Avenir" w:hAnsi="Avenir" w:cs="Avenir"/>
                <w:b/>
                <w:sz w:val="20"/>
                <w:szCs w:val="20"/>
                <w:lang w:val="en-GB"/>
              </w:rPr>
              <w:t>Data and infrastructure</w:t>
            </w:r>
          </w:p>
        </w:tc>
        <w:tc>
          <w:tcPr>
            <w:tcW w:w="4860" w:type="dxa"/>
            <w:tcBorders>
              <w:top w:val="single" w:sz="8" w:space="0" w:color="000000"/>
              <w:left w:val="single" w:sz="8" w:space="0" w:color="000000"/>
              <w:bottom w:val="single" w:sz="8" w:space="0" w:color="000000"/>
              <w:right w:val="single" w:sz="8" w:space="0" w:color="000000"/>
            </w:tcBorders>
            <w:shd w:val="clear" w:color="auto" w:fill="auto"/>
          </w:tcPr>
          <w:p w14:paraId="07F62F76" w14:textId="77777777" w:rsidR="00B556DE" w:rsidRPr="00171C2D" w:rsidRDefault="000D6BB0">
            <w:pPr>
              <w:widowControl w:val="0"/>
              <w:spacing w:line="240" w:lineRule="auto"/>
              <w:rPr>
                <w:rFonts w:ascii="Avenir" w:eastAsia="Avenir" w:hAnsi="Avenir" w:cs="Avenir"/>
                <w:b/>
                <w:sz w:val="20"/>
                <w:szCs w:val="20"/>
                <w:lang w:val="en-GB"/>
              </w:rPr>
            </w:pPr>
            <w:r w:rsidRPr="00171C2D">
              <w:rPr>
                <w:rFonts w:ascii="Avenir" w:eastAsia="Avenir" w:hAnsi="Avenir" w:cs="Avenir"/>
                <w:b/>
                <w:sz w:val="20"/>
                <w:szCs w:val="20"/>
                <w:lang w:val="en-GB"/>
              </w:rPr>
              <w:t>Invoices referring to the use of technology in driving campaign mechanisms, including infrastructure, data analysis and website services. This category has seven subcategories.</w:t>
            </w:r>
          </w:p>
        </w:tc>
        <w:tc>
          <w:tcPr>
            <w:tcW w:w="1935" w:type="dxa"/>
            <w:tcBorders>
              <w:top w:val="single" w:sz="8" w:space="0" w:color="000000"/>
              <w:left w:val="single" w:sz="8" w:space="0" w:color="000000"/>
              <w:bottom w:val="single" w:sz="8" w:space="0" w:color="000000"/>
              <w:right w:val="single" w:sz="8" w:space="0" w:color="000000"/>
            </w:tcBorders>
            <w:shd w:val="clear" w:color="auto" w:fill="auto"/>
          </w:tcPr>
          <w:p w14:paraId="0A876C94" w14:textId="55AD719B" w:rsidR="00B556DE" w:rsidRPr="00171C2D" w:rsidRDefault="000D6BB0">
            <w:pPr>
              <w:widowControl w:val="0"/>
              <w:spacing w:line="240" w:lineRule="auto"/>
              <w:rPr>
                <w:rFonts w:ascii="Avenir" w:eastAsia="Avenir" w:hAnsi="Avenir" w:cs="Avenir"/>
                <w:b/>
                <w:sz w:val="20"/>
                <w:szCs w:val="20"/>
                <w:lang w:val="en-GB"/>
              </w:rPr>
            </w:pPr>
            <w:proofErr w:type="gramStart"/>
            <w:r w:rsidRPr="00171C2D">
              <w:rPr>
                <w:rFonts w:ascii="Avenir" w:eastAsia="Avenir" w:hAnsi="Avenir" w:cs="Avenir"/>
                <w:b/>
                <w:sz w:val="20"/>
                <w:szCs w:val="20"/>
                <w:lang w:val="en-GB"/>
              </w:rPr>
              <w:t>Total</w:t>
            </w:r>
            <w:proofErr w:type="gramEnd"/>
            <w:r w:rsidRPr="00171C2D">
              <w:rPr>
                <w:rFonts w:ascii="Avenir" w:eastAsia="Avenir" w:hAnsi="Avenir" w:cs="Avenir"/>
                <w:b/>
                <w:sz w:val="20"/>
                <w:szCs w:val="20"/>
                <w:lang w:val="en-GB"/>
              </w:rPr>
              <w:t xml:space="preserve"> spend: </w:t>
            </w:r>
            <w:r w:rsidR="009014F3">
              <w:rPr>
                <w:rFonts w:ascii="Avenir" w:eastAsia="Avenir" w:hAnsi="Avenir" w:cs="Avenir"/>
                <w:b/>
                <w:sz w:val="20"/>
                <w:szCs w:val="20"/>
                <w:lang w:val="en-GB"/>
              </w:rPr>
              <w:t>GBP </w:t>
            </w:r>
            <w:r w:rsidRPr="00171C2D">
              <w:rPr>
                <w:rFonts w:ascii="Avenir" w:eastAsia="Avenir" w:hAnsi="Avenir" w:cs="Avenir"/>
                <w:b/>
                <w:sz w:val="20"/>
                <w:szCs w:val="20"/>
                <w:lang w:val="en-GB"/>
              </w:rPr>
              <w:t>2,022,103</w:t>
            </w:r>
          </w:p>
        </w:tc>
      </w:tr>
      <w:tr w:rsidR="00171C2D" w:rsidRPr="00171C2D" w14:paraId="1A06834B" w14:textId="77777777" w:rsidTr="006443D1">
        <w:tc>
          <w:tcPr>
            <w:tcW w:w="2550" w:type="dxa"/>
            <w:tcBorders>
              <w:top w:val="single" w:sz="8" w:space="0" w:color="000000"/>
              <w:left w:val="single" w:sz="8" w:space="0" w:color="000000"/>
              <w:bottom w:val="single" w:sz="8" w:space="0" w:color="000000"/>
              <w:right w:val="single" w:sz="8" w:space="0" w:color="000000"/>
            </w:tcBorders>
            <w:shd w:val="clear" w:color="auto" w:fill="auto"/>
          </w:tcPr>
          <w:p w14:paraId="7A4B41C2" w14:textId="77777777" w:rsidR="00B556DE" w:rsidRPr="00171C2D" w:rsidRDefault="000D6BB0" w:rsidP="006443D1">
            <w:pPr>
              <w:widowControl w:val="0"/>
              <w:spacing w:line="240" w:lineRule="auto"/>
              <w:ind w:left="90"/>
              <w:rPr>
                <w:rFonts w:ascii="Avenir" w:eastAsia="Avenir" w:hAnsi="Avenir" w:cs="Avenir"/>
                <w:bCs/>
                <w:sz w:val="20"/>
                <w:szCs w:val="20"/>
                <w:lang w:val="en-GB"/>
              </w:rPr>
            </w:pPr>
            <w:r w:rsidRPr="00171C2D">
              <w:rPr>
                <w:rFonts w:ascii="Avenir" w:eastAsia="Avenir" w:hAnsi="Avenir" w:cs="Avenir"/>
                <w:bCs/>
                <w:sz w:val="20"/>
                <w:szCs w:val="20"/>
                <w:lang w:val="en-GB"/>
              </w:rPr>
              <w:t>Data and infrastructure</w:t>
            </w:r>
          </w:p>
        </w:tc>
        <w:tc>
          <w:tcPr>
            <w:tcW w:w="4860" w:type="dxa"/>
            <w:tcBorders>
              <w:top w:val="single" w:sz="8" w:space="0" w:color="000000"/>
              <w:left w:val="single" w:sz="8" w:space="0" w:color="000000"/>
              <w:bottom w:val="single" w:sz="8" w:space="0" w:color="000000"/>
              <w:right w:val="single" w:sz="8" w:space="0" w:color="000000"/>
            </w:tcBorders>
            <w:shd w:val="clear" w:color="auto" w:fill="auto"/>
          </w:tcPr>
          <w:p w14:paraId="34269E99" w14:textId="77777777" w:rsidR="00B556DE" w:rsidRPr="00171C2D" w:rsidRDefault="000D6BB0">
            <w:pPr>
              <w:widowControl w:val="0"/>
              <w:spacing w:line="240" w:lineRule="auto"/>
              <w:rPr>
                <w:rFonts w:ascii="Avenir" w:eastAsia="Avenir" w:hAnsi="Avenir" w:cs="Avenir"/>
                <w:sz w:val="20"/>
                <w:szCs w:val="20"/>
                <w:lang w:val="en-GB"/>
              </w:rPr>
            </w:pPr>
            <w:r w:rsidRPr="00171C2D">
              <w:rPr>
                <w:rFonts w:ascii="Avenir" w:eastAsia="Avenir" w:hAnsi="Avenir" w:cs="Avenir"/>
                <w:sz w:val="20"/>
                <w:szCs w:val="20"/>
                <w:lang w:val="en-GB"/>
              </w:rPr>
              <w:t>Where services fell under the general category of ‘data and infrastructure’</w:t>
            </w:r>
          </w:p>
        </w:tc>
        <w:tc>
          <w:tcPr>
            <w:tcW w:w="1935" w:type="dxa"/>
            <w:tcBorders>
              <w:top w:val="single" w:sz="8" w:space="0" w:color="000000"/>
              <w:left w:val="single" w:sz="8" w:space="0" w:color="000000"/>
              <w:bottom w:val="single" w:sz="8" w:space="0" w:color="000000"/>
              <w:right w:val="single" w:sz="8" w:space="0" w:color="000000"/>
            </w:tcBorders>
            <w:shd w:val="clear" w:color="auto" w:fill="auto"/>
          </w:tcPr>
          <w:p w14:paraId="489F1572" w14:textId="723C466C" w:rsidR="00B556DE" w:rsidRPr="00171C2D" w:rsidRDefault="009014F3" w:rsidP="006443D1">
            <w:pPr>
              <w:widowControl w:val="0"/>
              <w:spacing w:line="240" w:lineRule="auto"/>
              <w:jc w:val="right"/>
              <w:rPr>
                <w:rFonts w:ascii="Avenir" w:eastAsia="Avenir" w:hAnsi="Avenir" w:cs="Avenir"/>
                <w:sz w:val="20"/>
                <w:szCs w:val="20"/>
                <w:lang w:val="en-GB"/>
              </w:rPr>
            </w:pPr>
            <w:r>
              <w:rPr>
                <w:rFonts w:ascii="Avenir" w:eastAsia="Avenir" w:hAnsi="Avenir" w:cs="Avenir"/>
                <w:sz w:val="20"/>
                <w:szCs w:val="20"/>
                <w:lang w:val="en-GB"/>
              </w:rPr>
              <w:t>GBP </w:t>
            </w:r>
            <w:r w:rsidR="000D6BB0" w:rsidRPr="00171C2D">
              <w:rPr>
                <w:rFonts w:ascii="Avenir" w:eastAsia="Avenir" w:hAnsi="Avenir" w:cs="Avenir"/>
                <w:sz w:val="20"/>
                <w:szCs w:val="20"/>
                <w:lang w:val="en-GB"/>
              </w:rPr>
              <w:t>163,371</w:t>
            </w:r>
          </w:p>
        </w:tc>
      </w:tr>
      <w:tr w:rsidR="00171C2D" w:rsidRPr="00171C2D" w14:paraId="49A8B001" w14:textId="77777777" w:rsidTr="006443D1">
        <w:trPr>
          <w:trHeight w:val="400"/>
        </w:trPr>
        <w:tc>
          <w:tcPr>
            <w:tcW w:w="2550" w:type="dxa"/>
            <w:tcBorders>
              <w:top w:val="single" w:sz="8" w:space="0" w:color="000000"/>
              <w:left w:val="single" w:sz="8" w:space="0" w:color="000000"/>
              <w:bottom w:val="single" w:sz="8" w:space="0" w:color="000000"/>
              <w:right w:val="single" w:sz="8" w:space="0" w:color="000000"/>
            </w:tcBorders>
            <w:shd w:val="clear" w:color="auto" w:fill="auto"/>
          </w:tcPr>
          <w:p w14:paraId="06E795AA" w14:textId="77777777" w:rsidR="00B556DE" w:rsidRPr="00171C2D" w:rsidRDefault="000D6BB0" w:rsidP="006443D1">
            <w:pPr>
              <w:widowControl w:val="0"/>
              <w:spacing w:line="240" w:lineRule="auto"/>
              <w:ind w:left="90"/>
              <w:rPr>
                <w:rFonts w:ascii="Avenir" w:eastAsia="Avenir" w:hAnsi="Avenir" w:cs="Avenir"/>
                <w:sz w:val="20"/>
                <w:szCs w:val="20"/>
                <w:lang w:val="en-GB"/>
              </w:rPr>
            </w:pPr>
            <w:r w:rsidRPr="00171C2D">
              <w:rPr>
                <w:rFonts w:ascii="Avenir" w:eastAsia="Avenir" w:hAnsi="Avenir" w:cs="Avenir"/>
                <w:sz w:val="20"/>
                <w:szCs w:val="20"/>
                <w:lang w:val="en-GB"/>
              </w:rPr>
              <w:t>Campaign database or CRM</w:t>
            </w:r>
          </w:p>
        </w:tc>
        <w:tc>
          <w:tcPr>
            <w:tcW w:w="4860" w:type="dxa"/>
            <w:tcBorders>
              <w:top w:val="single" w:sz="8" w:space="0" w:color="000000"/>
              <w:left w:val="single" w:sz="8" w:space="0" w:color="000000"/>
              <w:bottom w:val="single" w:sz="8" w:space="0" w:color="000000"/>
              <w:right w:val="single" w:sz="8" w:space="0" w:color="000000"/>
            </w:tcBorders>
            <w:shd w:val="clear" w:color="auto" w:fill="auto"/>
          </w:tcPr>
          <w:p w14:paraId="7D653DD2" w14:textId="77777777" w:rsidR="00B556DE" w:rsidRPr="00171C2D" w:rsidRDefault="000D6BB0">
            <w:pPr>
              <w:widowControl w:val="0"/>
              <w:spacing w:line="240" w:lineRule="auto"/>
              <w:rPr>
                <w:rFonts w:ascii="Avenir" w:eastAsia="Avenir" w:hAnsi="Avenir" w:cs="Avenir"/>
                <w:sz w:val="20"/>
                <w:szCs w:val="20"/>
                <w:lang w:val="en-GB"/>
              </w:rPr>
            </w:pPr>
            <w:r w:rsidRPr="00171C2D">
              <w:rPr>
                <w:rFonts w:ascii="Avenir" w:eastAsia="Avenir" w:hAnsi="Avenir" w:cs="Avenir"/>
                <w:sz w:val="20"/>
                <w:szCs w:val="20"/>
                <w:lang w:val="en-GB"/>
              </w:rPr>
              <w:t xml:space="preserve">Customer relationship management (CRM) services or databases, such as Contact Creator, </w:t>
            </w:r>
            <w:proofErr w:type="spellStart"/>
            <w:r w:rsidRPr="00171C2D">
              <w:rPr>
                <w:rFonts w:ascii="Avenir" w:eastAsia="Avenir" w:hAnsi="Avenir" w:cs="Avenir"/>
                <w:sz w:val="20"/>
                <w:szCs w:val="20"/>
                <w:lang w:val="en-GB"/>
              </w:rPr>
              <w:t>NationBuilder</w:t>
            </w:r>
            <w:proofErr w:type="spellEnd"/>
            <w:r w:rsidRPr="00171C2D">
              <w:rPr>
                <w:rFonts w:ascii="Avenir" w:eastAsia="Avenir" w:hAnsi="Avenir" w:cs="Avenir"/>
                <w:sz w:val="20"/>
                <w:szCs w:val="20"/>
                <w:lang w:val="en-GB"/>
              </w:rPr>
              <w:t xml:space="preserve"> and Voter Vault</w:t>
            </w:r>
          </w:p>
        </w:tc>
        <w:tc>
          <w:tcPr>
            <w:tcW w:w="1935" w:type="dxa"/>
            <w:tcBorders>
              <w:top w:val="single" w:sz="8" w:space="0" w:color="000000"/>
              <w:left w:val="single" w:sz="8" w:space="0" w:color="000000"/>
              <w:bottom w:val="single" w:sz="8" w:space="0" w:color="000000"/>
              <w:right w:val="single" w:sz="8" w:space="0" w:color="000000"/>
            </w:tcBorders>
            <w:shd w:val="clear" w:color="auto" w:fill="auto"/>
          </w:tcPr>
          <w:p w14:paraId="3001A1CB" w14:textId="344B2817" w:rsidR="00B556DE" w:rsidRPr="00171C2D" w:rsidRDefault="009014F3" w:rsidP="006443D1">
            <w:pPr>
              <w:widowControl w:val="0"/>
              <w:spacing w:line="240" w:lineRule="auto"/>
              <w:jc w:val="right"/>
              <w:rPr>
                <w:rFonts w:ascii="Avenir" w:eastAsia="Avenir" w:hAnsi="Avenir" w:cs="Avenir"/>
                <w:sz w:val="20"/>
                <w:szCs w:val="20"/>
                <w:lang w:val="en-GB"/>
              </w:rPr>
            </w:pPr>
            <w:r>
              <w:rPr>
                <w:rFonts w:ascii="Avenir" w:eastAsia="Avenir" w:hAnsi="Avenir" w:cs="Avenir"/>
                <w:sz w:val="20"/>
                <w:szCs w:val="20"/>
                <w:lang w:val="en-GB"/>
              </w:rPr>
              <w:t>GBP </w:t>
            </w:r>
            <w:r w:rsidR="000D6BB0" w:rsidRPr="00171C2D">
              <w:rPr>
                <w:rFonts w:ascii="Avenir" w:eastAsia="Avenir" w:hAnsi="Avenir" w:cs="Avenir"/>
                <w:sz w:val="20"/>
                <w:szCs w:val="20"/>
                <w:lang w:val="en-GB"/>
              </w:rPr>
              <w:t>644,362</w:t>
            </w:r>
          </w:p>
        </w:tc>
      </w:tr>
      <w:tr w:rsidR="00171C2D" w:rsidRPr="00171C2D" w14:paraId="6B54E1A5" w14:textId="77777777" w:rsidTr="006443D1">
        <w:trPr>
          <w:trHeight w:val="400"/>
        </w:trPr>
        <w:tc>
          <w:tcPr>
            <w:tcW w:w="2550" w:type="dxa"/>
            <w:tcBorders>
              <w:top w:val="single" w:sz="8" w:space="0" w:color="000000"/>
              <w:left w:val="single" w:sz="8" w:space="0" w:color="000000"/>
              <w:bottom w:val="single" w:sz="8" w:space="0" w:color="000000"/>
              <w:right w:val="single" w:sz="8" w:space="0" w:color="000000"/>
            </w:tcBorders>
            <w:shd w:val="clear" w:color="auto" w:fill="auto"/>
          </w:tcPr>
          <w:p w14:paraId="6774E63C" w14:textId="77777777" w:rsidR="00B556DE" w:rsidRPr="00171C2D" w:rsidRDefault="000D6BB0" w:rsidP="006443D1">
            <w:pPr>
              <w:widowControl w:val="0"/>
              <w:spacing w:line="240" w:lineRule="auto"/>
              <w:ind w:left="90"/>
              <w:rPr>
                <w:rFonts w:ascii="Avenir" w:eastAsia="Avenir" w:hAnsi="Avenir" w:cs="Avenir"/>
                <w:sz w:val="20"/>
                <w:szCs w:val="20"/>
                <w:lang w:val="en-GB"/>
              </w:rPr>
            </w:pPr>
            <w:r w:rsidRPr="00171C2D">
              <w:rPr>
                <w:rFonts w:ascii="Avenir" w:eastAsia="Avenir" w:hAnsi="Avenir" w:cs="Avenir"/>
                <w:sz w:val="20"/>
                <w:szCs w:val="20"/>
                <w:lang w:val="en-GB"/>
              </w:rPr>
              <w:t>Data services and analysis</w:t>
            </w:r>
          </w:p>
        </w:tc>
        <w:tc>
          <w:tcPr>
            <w:tcW w:w="4860" w:type="dxa"/>
            <w:tcBorders>
              <w:top w:val="single" w:sz="8" w:space="0" w:color="000000"/>
              <w:left w:val="single" w:sz="8" w:space="0" w:color="000000"/>
              <w:bottom w:val="single" w:sz="8" w:space="0" w:color="000000"/>
              <w:right w:val="single" w:sz="8" w:space="0" w:color="000000"/>
            </w:tcBorders>
            <w:shd w:val="clear" w:color="auto" w:fill="auto"/>
          </w:tcPr>
          <w:p w14:paraId="0AB17DC4" w14:textId="77777777" w:rsidR="00B556DE" w:rsidRPr="00171C2D" w:rsidRDefault="000D6BB0">
            <w:pPr>
              <w:widowControl w:val="0"/>
              <w:spacing w:line="240" w:lineRule="auto"/>
              <w:rPr>
                <w:rFonts w:ascii="Avenir" w:eastAsia="Avenir" w:hAnsi="Avenir" w:cs="Avenir"/>
                <w:sz w:val="20"/>
                <w:szCs w:val="20"/>
                <w:lang w:val="en-GB"/>
              </w:rPr>
            </w:pPr>
            <w:r w:rsidRPr="00171C2D">
              <w:rPr>
                <w:rFonts w:ascii="Avenir" w:eastAsia="Avenir" w:hAnsi="Avenir" w:cs="Avenir"/>
                <w:sz w:val="20"/>
                <w:szCs w:val="20"/>
                <w:lang w:val="en-GB"/>
              </w:rPr>
              <w:t>Data management, data analysis, list building, data collection, voter file matching and identity resolution/data matching</w:t>
            </w:r>
          </w:p>
        </w:tc>
        <w:tc>
          <w:tcPr>
            <w:tcW w:w="1935" w:type="dxa"/>
            <w:tcBorders>
              <w:top w:val="single" w:sz="8" w:space="0" w:color="000000"/>
              <w:left w:val="single" w:sz="8" w:space="0" w:color="000000"/>
              <w:bottom w:val="single" w:sz="8" w:space="0" w:color="000000"/>
              <w:right w:val="single" w:sz="8" w:space="0" w:color="000000"/>
            </w:tcBorders>
            <w:shd w:val="clear" w:color="auto" w:fill="auto"/>
          </w:tcPr>
          <w:p w14:paraId="5632863E" w14:textId="3F08F161" w:rsidR="00B556DE" w:rsidRPr="00171C2D" w:rsidRDefault="009014F3" w:rsidP="006443D1">
            <w:pPr>
              <w:widowControl w:val="0"/>
              <w:spacing w:line="240" w:lineRule="auto"/>
              <w:jc w:val="right"/>
              <w:rPr>
                <w:rFonts w:ascii="Avenir" w:eastAsia="Avenir" w:hAnsi="Avenir" w:cs="Avenir"/>
                <w:sz w:val="20"/>
                <w:szCs w:val="20"/>
                <w:lang w:val="en-GB"/>
              </w:rPr>
            </w:pPr>
            <w:r>
              <w:rPr>
                <w:rFonts w:ascii="Avenir" w:eastAsia="Avenir" w:hAnsi="Avenir" w:cs="Avenir"/>
                <w:sz w:val="20"/>
                <w:szCs w:val="20"/>
                <w:lang w:val="en-GB"/>
              </w:rPr>
              <w:t>GBP </w:t>
            </w:r>
            <w:r w:rsidR="000D6BB0" w:rsidRPr="00171C2D">
              <w:rPr>
                <w:rFonts w:ascii="Avenir" w:eastAsia="Avenir" w:hAnsi="Avenir" w:cs="Avenir"/>
                <w:sz w:val="20"/>
                <w:szCs w:val="20"/>
                <w:lang w:val="en-GB"/>
              </w:rPr>
              <w:t>302,140</w:t>
            </w:r>
          </w:p>
        </w:tc>
      </w:tr>
      <w:tr w:rsidR="00171C2D" w:rsidRPr="00171C2D" w14:paraId="380FEAAE" w14:textId="77777777" w:rsidTr="006443D1">
        <w:trPr>
          <w:trHeight w:val="400"/>
        </w:trPr>
        <w:tc>
          <w:tcPr>
            <w:tcW w:w="2550" w:type="dxa"/>
            <w:tcBorders>
              <w:top w:val="single" w:sz="8" w:space="0" w:color="000000"/>
              <w:left w:val="single" w:sz="8" w:space="0" w:color="000000"/>
              <w:bottom w:val="single" w:sz="8" w:space="0" w:color="000000"/>
              <w:right w:val="single" w:sz="8" w:space="0" w:color="000000"/>
            </w:tcBorders>
            <w:shd w:val="clear" w:color="auto" w:fill="auto"/>
          </w:tcPr>
          <w:p w14:paraId="32617113" w14:textId="77777777" w:rsidR="00B556DE" w:rsidRPr="00171C2D" w:rsidRDefault="000D6BB0" w:rsidP="006443D1">
            <w:pPr>
              <w:widowControl w:val="0"/>
              <w:spacing w:line="240" w:lineRule="auto"/>
              <w:ind w:left="90"/>
              <w:rPr>
                <w:rFonts w:ascii="Avenir" w:eastAsia="Avenir" w:hAnsi="Avenir" w:cs="Avenir"/>
                <w:sz w:val="20"/>
                <w:szCs w:val="20"/>
                <w:lang w:val="en-GB"/>
              </w:rPr>
            </w:pPr>
            <w:r w:rsidRPr="00171C2D">
              <w:rPr>
                <w:rFonts w:ascii="Avenir" w:eastAsia="Avenir" w:hAnsi="Avenir" w:cs="Avenir"/>
                <w:sz w:val="20"/>
                <w:szCs w:val="20"/>
                <w:lang w:val="en-GB"/>
              </w:rPr>
              <w:lastRenderedPageBreak/>
              <w:t>IT infrastructure and support</w:t>
            </w:r>
          </w:p>
        </w:tc>
        <w:tc>
          <w:tcPr>
            <w:tcW w:w="4860" w:type="dxa"/>
            <w:tcBorders>
              <w:top w:val="single" w:sz="8" w:space="0" w:color="000000"/>
              <w:left w:val="single" w:sz="8" w:space="0" w:color="000000"/>
              <w:bottom w:val="single" w:sz="8" w:space="0" w:color="000000"/>
              <w:right w:val="single" w:sz="8" w:space="0" w:color="000000"/>
            </w:tcBorders>
            <w:shd w:val="clear" w:color="auto" w:fill="auto"/>
          </w:tcPr>
          <w:p w14:paraId="5F3BC2BD" w14:textId="77777777" w:rsidR="00B556DE" w:rsidRPr="00171C2D" w:rsidRDefault="000D6BB0">
            <w:pPr>
              <w:widowControl w:val="0"/>
              <w:spacing w:line="240" w:lineRule="auto"/>
              <w:rPr>
                <w:rFonts w:ascii="Avenir" w:eastAsia="Avenir" w:hAnsi="Avenir" w:cs="Avenir"/>
                <w:sz w:val="20"/>
                <w:szCs w:val="20"/>
                <w:lang w:val="en-GB"/>
              </w:rPr>
            </w:pPr>
            <w:r w:rsidRPr="00171C2D">
              <w:rPr>
                <w:rFonts w:ascii="Avenir" w:eastAsia="Avenir" w:hAnsi="Avenir" w:cs="Avenir"/>
                <w:sz w:val="20"/>
                <w:szCs w:val="20"/>
                <w:lang w:val="en-GB"/>
              </w:rPr>
              <w:t>Software, software development servers, cloud computing and the purchasing of desktop and laptop computers</w:t>
            </w:r>
          </w:p>
        </w:tc>
        <w:tc>
          <w:tcPr>
            <w:tcW w:w="1935" w:type="dxa"/>
            <w:tcBorders>
              <w:top w:val="single" w:sz="8" w:space="0" w:color="000000"/>
              <w:left w:val="single" w:sz="8" w:space="0" w:color="000000"/>
              <w:bottom w:val="single" w:sz="8" w:space="0" w:color="000000"/>
              <w:right w:val="single" w:sz="8" w:space="0" w:color="000000"/>
            </w:tcBorders>
            <w:shd w:val="clear" w:color="auto" w:fill="auto"/>
          </w:tcPr>
          <w:p w14:paraId="12AAA886" w14:textId="6B59646D" w:rsidR="00B556DE" w:rsidRPr="00171C2D" w:rsidRDefault="009014F3" w:rsidP="006443D1">
            <w:pPr>
              <w:widowControl w:val="0"/>
              <w:spacing w:line="240" w:lineRule="auto"/>
              <w:jc w:val="right"/>
              <w:rPr>
                <w:rFonts w:ascii="Avenir" w:eastAsia="Avenir" w:hAnsi="Avenir" w:cs="Avenir"/>
                <w:sz w:val="20"/>
                <w:szCs w:val="20"/>
                <w:lang w:val="en-GB"/>
              </w:rPr>
            </w:pPr>
            <w:r>
              <w:rPr>
                <w:rFonts w:ascii="Avenir" w:eastAsia="Avenir" w:hAnsi="Avenir" w:cs="Avenir"/>
                <w:sz w:val="20"/>
                <w:szCs w:val="20"/>
                <w:lang w:val="en-GB"/>
              </w:rPr>
              <w:t>GBP </w:t>
            </w:r>
            <w:r w:rsidR="000D6BB0" w:rsidRPr="00171C2D">
              <w:rPr>
                <w:rFonts w:ascii="Avenir" w:eastAsia="Avenir" w:hAnsi="Avenir" w:cs="Avenir"/>
                <w:sz w:val="20"/>
                <w:szCs w:val="20"/>
                <w:lang w:val="en-GB"/>
              </w:rPr>
              <w:t>696,140</w:t>
            </w:r>
          </w:p>
        </w:tc>
      </w:tr>
      <w:tr w:rsidR="00171C2D" w:rsidRPr="00171C2D" w14:paraId="21758EEB" w14:textId="77777777" w:rsidTr="006443D1">
        <w:trPr>
          <w:trHeight w:val="400"/>
        </w:trPr>
        <w:tc>
          <w:tcPr>
            <w:tcW w:w="2550" w:type="dxa"/>
            <w:tcBorders>
              <w:top w:val="single" w:sz="8" w:space="0" w:color="000000"/>
              <w:left w:val="single" w:sz="8" w:space="0" w:color="000000"/>
              <w:bottom w:val="single" w:sz="8" w:space="0" w:color="000000"/>
              <w:right w:val="single" w:sz="8" w:space="0" w:color="000000"/>
            </w:tcBorders>
            <w:shd w:val="clear" w:color="auto" w:fill="auto"/>
          </w:tcPr>
          <w:p w14:paraId="55AAF26C" w14:textId="77777777" w:rsidR="00B556DE" w:rsidRPr="00171C2D" w:rsidRDefault="000D6BB0" w:rsidP="006443D1">
            <w:pPr>
              <w:widowControl w:val="0"/>
              <w:spacing w:line="240" w:lineRule="auto"/>
              <w:ind w:left="90"/>
              <w:rPr>
                <w:rFonts w:ascii="Avenir" w:eastAsia="Avenir" w:hAnsi="Avenir" w:cs="Avenir"/>
                <w:sz w:val="20"/>
                <w:szCs w:val="20"/>
                <w:lang w:val="en-GB"/>
              </w:rPr>
            </w:pPr>
            <w:r w:rsidRPr="00171C2D">
              <w:rPr>
                <w:rFonts w:ascii="Avenir" w:eastAsia="Avenir" w:hAnsi="Avenir" w:cs="Avenir"/>
                <w:sz w:val="20"/>
                <w:szCs w:val="20"/>
                <w:lang w:val="en-GB"/>
              </w:rPr>
              <w:t>Telecommunications services</w:t>
            </w:r>
          </w:p>
        </w:tc>
        <w:tc>
          <w:tcPr>
            <w:tcW w:w="4860" w:type="dxa"/>
            <w:tcBorders>
              <w:top w:val="single" w:sz="8" w:space="0" w:color="000000"/>
              <w:left w:val="single" w:sz="8" w:space="0" w:color="000000"/>
              <w:bottom w:val="single" w:sz="8" w:space="0" w:color="000000"/>
              <w:right w:val="single" w:sz="8" w:space="0" w:color="000000"/>
            </w:tcBorders>
            <w:shd w:val="clear" w:color="auto" w:fill="auto"/>
          </w:tcPr>
          <w:p w14:paraId="1A22F194" w14:textId="77777777" w:rsidR="00B556DE" w:rsidRPr="00171C2D" w:rsidRDefault="000D6BB0">
            <w:pPr>
              <w:widowControl w:val="0"/>
              <w:spacing w:line="240" w:lineRule="auto"/>
              <w:rPr>
                <w:rFonts w:ascii="Avenir" w:eastAsia="Avenir" w:hAnsi="Avenir" w:cs="Avenir"/>
                <w:sz w:val="20"/>
                <w:szCs w:val="20"/>
                <w:lang w:val="en-GB"/>
              </w:rPr>
            </w:pPr>
            <w:r w:rsidRPr="00171C2D">
              <w:rPr>
                <w:rFonts w:ascii="Avenir" w:eastAsia="Avenir" w:hAnsi="Avenir" w:cs="Avenir"/>
                <w:sz w:val="20"/>
                <w:szCs w:val="20"/>
                <w:lang w:val="en-GB"/>
              </w:rPr>
              <w:t>Purchase and upkeep of telecommunication systems</w:t>
            </w:r>
          </w:p>
          <w:p w14:paraId="499A7429" w14:textId="77777777" w:rsidR="00B556DE" w:rsidRPr="00171C2D" w:rsidRDefault="00B556DE">
            <w:pPr>
              <w:widowControl w:val="0"/>
              <w:spacing w:line="240" w:lineRule="auto"/>
              <w:rPr>
                <w:rFonts w:ascii="Avenir" w:eastAsia="Avenir" w:hAnsi="Avenir" w:cs="Avenir"/>
                <w:sz w:val="20"/>
                <w:szCs w:val="20"/>
                <w:lang w:val="en-GB"/>
              </w:rPr>
            </w:pPr>
          </w:p>
        </w:tc>
        <w:tc>
          <w:tcPr>
            <w:tcW w:w="1935" w:type="dxa"/>
            <w:tcBorders>
              <w:top w:val="single" w:sz="8" w:space="0" w:color="000000"/>
              <w:left w:val="single" w:sz="8" w:space="0" w:color="000000"/>
              <w:bottom w:val="single" w:sz="8" w:space="0" w:color="000000"/>
              <w:right w:val="single" w:sz="8" w:space="0" w:color="000000"/>
            </w:tcBorders>
            <w:shd w:val="clear" w:color="auto" w:fill="auto"/>
          </w:tcPr>
          <w:p w14:paraId="456727FB" w14:textId="32D116AB" w:rsidR="00B556DE" w:rsidRPr="00171C2D" w:rsidRDefault="009014F3" w:rsidP="006443D1">
            <w:pPr>
              <w:widowControl w:val="0"/>
              <w:spacing w:line="240" w:lineRule="auto"/>
              <w:jc w:val="right"/>
              <w:rPr>
                <w:rFonts w:ascii="Avenir" w:eastAsia="Avenir" w:hAnsi="Avenir" w:cs="Avenir"/>
                <w:sz w:val="20"/>
                <w:szCs w:val="20"/>
                <w:lang w:val="en-GB"/>
              </w:rPr>
            </w:pPr>
            <w:r>
              <w:rPr>
                <w:rFonts w:ascii="Avenir" w:eastAsia="Avenir" w:hAnsi="Avenir" w:cs="Avenir"/>
                <w:sz w:val="20"/>
                <w:szCs w:val="20"/>
                <w:lang w:val="en-GB"/>
              </w:rPr>
              <w:t>GBP </w:t>
            </w:r>
            <w:r w:rsidR="000D6BB0" w:rsidRPr="00171C2D">
              <w:rPr>
                <w:rFonts w:ascii="Avenir" w:eastAsia="Avenir" w:hAnsi="Avenir" w:cs="Avenir"/>
                <w:sz w:val="20"/>
                <w:szCs w:val="20"/>
                <w:lang w:val="en-GB"/>
              </w:rPr>
              <w:t>59,371</w:t>
            </w:r>
          </w:p>
        </w:tc>
      </w:tr>
      <w:tr w:rsidR="00171C2D" w:rsidRPr="00171C2D" w14:paraId="7F177880" w14:textId="77777777" w:rsidTr="006443D1">
        <w:trPr>
          <w:trHeight w:val="400"/>
        </w:trPr>
        <w:tc>
          <w:tcPr>
            <w:tcW w:w="2550" w:type="dxa"/>
            <w:tcBorders>
              <w:top w:val="single" w:sz="8" w:space="0" w:color="000000"/>
              <w:left w:val="single" w:sz="8" w:space="0" w:color="000000"/>
              <w:bottom w:val="single" w:sz="8" w:space="0" w:color="000000"/>
              <w:right w:val="single" w:sz="8" w:space="0" w:color="000000"/>
            </w:tcBorders>
            <w:shd w:val="clear" w:color="auto" w:fill="auto"/>
          </w:tcPr>
          <w:p w14:paraId="35F892D5" w14:textId="77777777" w:rsidR="00B556DE" w:rsidRPr="00171C2D" w:rsidRDefault="000D6BB0" w:rsidP="006443D1">
            <w:pPr>
              <w:widowControl w:val="0"/>
              <w:spacing w:line="240" w:lineRule="auto"/>
              <w:ind w:left="90"/>
              <w:rPr>
                <w:rFonts w:ascii="Avenir" w:eastAsia="Avenir" w:hAnsi="Avenir" w:cs="Avenir"/>
                <w:sz w:val="20"/>
                <w:szCs w:val="20"/>
                <w:lang w:val="en-GB"/>
              </w:rPr>
            </w:pPr>
            <w:r w:rsidRPr="00171C2D">
              <w:rPr>
                <w:rFonts w:ascii="Avenir" w:eastAsia="Avenir" w:hAnsi="Avenir" w:cs="Avenir"/>
                <w:sz w:val="20"/>
                <w:szCs w:val="20"/>
                <w:lang w:val="en-GB"/>
              </w:rPr>
              <w:t>Mobile application services</w:t>
            </w:r>
          </w:p>
        </w:tc>
        <w:tc>
          <w:tcPr>
            <w:tcW w:w="4860" w:type="dxa"/>
            <w:tcBorders>
              <w:top w:val="single" w:sz="8" w:space="0" w:color="000000"/>
              <w:left w:val="single" w:sz="8" w:space="0" w:color="000000"/>
              <w:bottom w:val="single" w:sz="8" w:space="0" w:color="000000"/>
              <w:right w:val="single" w:sz="8" w:space="0" w:color="000000"/>
            </w:tcBorders>
            <w:shd w:val="clear" w:color="auto" w:fill="auto"/>
          </w:tcPr>
          <w:p w14:paraId="1C25B778" w14:textId="77777777" w:rsidR="00B556DE" w:rsidRPr="00171C2D" w:rsidRDefault="000D6BB0">
            <w:pPr>
              <w:jc w:val="both"/>
              <w:rPr>
                <w:rFonts w:ascii="Avenir" w:eastAsia="Avenir" w:hAnsi="Avenir" w:cs="Avenir"/>
                <w:sz w:val="20"/>
                <w:szCs w:val="20"/>
                <w:lang w:val="en-GB"/>
              </w:rPr>
            </w:pPr>
            <w:r w:rsidRPr="00171C2D">
              <w:rPr>
                <w:rFonts w:ascii="Avenir" w:eastAsia="Avenir" w:hAnsi="Avenir" w:cs="Avenir"/>
                <w:sz w:val="20"/>
                <w:szCs w:val="20"/>
                <w:lang w:val="en-GB"/>
              </w:rPr>
              <w:t>Development for mobile phone apps for political parties and campaigns</w:t>
            </w:r>
          </w:p>
        </w:tc>
        <w:tc>
          <w:tcPr>
            <w:tcW w:w="1935" w:type="dxa"/>
            <w:tcBorders>
              <w:top w:val="single" w:sz="8" w:space="0" w:color="000000"/>
              <w:left w:val="single" w:sz="8" w:space="0" w:color="000000"/>
              <w:bottom w:val="single" w:sz="8" w:space="0" w:color="000000"/>
              <w:right w:val="single" w:sz="8" w:space="0" w:color="000000"/>
            </w:tcBorders>
            <w:shd w:val="clear" w:color="auto" w:fill="auto"/>
          </w:tcPr>
          <w:p w14:paraId="6DFC3202" w14:textId="5884ACD4" w:rsidR="00B556DE" w:rsidRPr="00171C2D" w:rsidRDefault="009014F3" w:rsidP="006443D1">
            <w:pPr>
              <w:widowControl w:val="0"/>
              <w:spacing w:line="240" w:lineRule="auto"/>
              <w:jc w:val="right"/>
              <w:rPr>
                <w:rFonts w:ascii="Avenir" w:eastAsia="Avenir" w:hAnsi="Avenir" w:cs="Avenir"/>
                <w:sz w:val="20"/>
                <w:szCs w:val="20"/>
                <w:lang w:val="en-GB"/>
              </w:rPr>
            </w:pPr>
            <w:r>
              <w:rPr>
                <w:rFonts w:ascii="Avenir" w:eastAsia="Avenir" w:hAnsi="Avenir" w:cs="Avenir"/>
                <w:sz w:val="20"/>
                <w:szCs w:val="20"/>
                <w:lang w:val="en-GB"/>
              </w:rPr>
              <w:t>GBP </w:t>
            </w:r>
            <w:r w:rsidR="000D6BB0" w:rsidRPr="00171C2D">
              <w:rPr>
                <w:rFonts w:ascii="Avenir" w:eastAsia="Avenir" w:hAnsi="Avenir" w:cs="Avenir"/>
                <w:sz w:val="20"/>
                <w:szCs w:val="20"/>
                <w:lang w:val="en-GB"/>
              </w:rPr>
              <w:t>77,379</w:t>
            </w:r>
          </w:p>
        </w:tc>
      </w:tr>
      <w:tr w:rsidR="00171C2D" w:rsidRPr="00171C2D" w14:paraId="718E3DA4" w14:textId="77777777" w:rsidTr="006443D1">
        <w:trPr>
          <w:trHeight w:val="400"/>
        </w:trPr>
        <w:tc>
          <w:tcPr>
            <w:tcW w:w="2550" w:type="dxa"/>
            <w:tcBorders>
              <w:top w:val="single" w:sz="8" w:space="0" w:color="000000"/>
              <w:left w:val="single" w:sz="8" w:space="0" w:color="000000"/>
              <w:bottom w:val="single" w:sz="8" w:space="0" w:color="000000"/>
              <w:right w:val="single" w:sz="8" w:space="0" w:color="000000"/>
            </w:tcBorders>
            <w:shd w:val="clear" w:color="auto" w:fill="auto"/>
          </w:tcPr>
          <w:p w14:paraId="4276B76B" w14:textId="77777777" w:rsidR="00B556DE" w:rsidRPr="00171C2D" w:rsidRDefault="000D6BB0" w:rsidP="006443D1">
            <w:pPr>
              <w:widowControl w:val="0"/>
              <w:spacing w:line="240" w:lineRule="auto"/>
              <w:ind w:left="90"/>
              <w:rPr>
                <w:rFonts w:ascii="Avenir" w:eastAsia="Avenir" w:hAnsi="Avenir" w:cs="Avenir"/>
                <w:sz w:val="20"/>
                <w:szCs w:val="20"/>
                <w:lang w:val="en-GB"/>
              </w:rPr>
            </w:pPr>
            <w:r w:rsidRPr="00171C2D">
              <w:rPr>
                <w:rFonts w:ascii="Avenir" w:eastAsia="Avenir" w:hAnsi="Avenir" w:cs="Avenir"/>
                <w:sz w:val="20"/>
                <w:szCs w:val="20"/>
                <w:lang w:val="en-GB"/>
              </w:rPr>
              <w:t>Email services</w:t>
            </w:r>
          </w:p>
        </w:tc>
        <w:tc>
          <w:tcPr>
            <w:tcW w:w="4860" w:type="dxa"/>
            <w:tcBorders>
              <w:top w:val="single" w:sz="8" w:space="0" w:color="000000"/>
              <w:left w:val="single" w:sz="8" w:space="0" w:color="000000"/>
              <w:bottom w:val="single" w:sz="8" w:space="0" w:color="000000"/>
              <w:right w:val="single" w:sz="8" w:space="0" w:color="000000"/>
            </w:tcBorders>
            <w:shd w:val="clear" w:color="auto" w:fill="auto"/>
          </w:tcPr>
          <w:p w14:paraId="5F675385" w14:textId="77777777" w:rsidR="00B556DE" w:rsidRPr="00171C2D" w:rsidRDefault="000D6BB0">
            <w:pPr>
              <w:widowControl w:val="0"/>
              <w:spacing w:line="240" w:lineRule="auto"/>
              <w:rPr>
                <w:rFonts w:ascii="Avenir" w:eastAsia="Avenir" w:hAnsi="Avenir" w:cs="Avenir"/>
                <w:sz w:val="20"/>
                <w:szCs w:val="20"/>
                <w:lang w:val="en-GB"/>
              </w:rPr>
            </w:pPr>
            <w:r w:rsidRPr="00171C2D">
              <w:rPr>
                <w:rFonts w:ascii="Avenir" w:eastAsia="Avenir" w:hAnsi="Avenir" w:cs="Avenir"/>
                <w:sz w:val="20"/>
                <w:szCs w:val="20"/>
                <w:lang w:val="en-GB"/>
              </w:rPr>
              <w:t>Upkeep of email servers</w:t>
            </w:r>
          </w:p>
        </w:tc>
        <w:tc>
          <w:tcPr>
            <w:tcW w:w="1935" w:type="dxa"/>
            <w:tcBorders>
              <w:top w:val="single" w:sz="8" w:space="0" w:color="000000"/>
              <w:left w:val="single" w:sz="8" w:space="0" w:color="000000"/>
              <w:bottom w:val="single" w:sz="8" w:space="0" w:color="000000"/>
              <w:right w:val="single" w:sz="8" w:space="0" w:color="000000"/>
            </w:tcBorders>
            <w:shd w:val="clear" w:color="auto" w:fill="auto"/>
          </w:tcPr>
          <w:p w14:paraId="19FBF261" w14:textId="60547CDC" w:rsidR="00B556DE" w:rsidRPr="00171C2D" w:rsidRDefault="009014F3" w:rsidP="006443D1">
            <w:pPr>
              <w:widowControl w:val="0"/>
              <w:spacing w:line="240" w:lineRule="auto"/>
              <w:jc w:val="right"/>
              <w:rPr>
                <w:rFonts w:ascii="Avenir" w:eastAsia="Avenir" w:hAnsi="Avenir" w:cs="Avenir"/>
                <w:sz w:val="20"/>
                <w:szCs w:val="20"/>
                <w:lang w:val="en-GB"/>
              </w:rPr>
            </w:pPr>
            <w:r>
              <w:rPr>
                <w:rFonts w:ascii="Avenir" w:eastAsia="Avenir" w:hAnsi="Avenir" w:cs="Avenir"/>
                <w:sz w:val="20"/>
                <w:szCs w:val="20"/>
                <w:lang w:val="en-GB"/>
              </w:rPr>
              <w:t>GBP </w:t>
            </w:r>
            <w:r w:rsidR="000D6BB0" w:rsidRPr="00171C2D">
              <w:rPr>
                <w:rFonts w:ascii="Avenir" w:eastAsia="Avenir" w:hAnsi="Avenir" w:cs="Avenir"/>
                <w:sz w:val="20"/>
                <w:szCs w:val="20"/>
                <w:lang w:val="en-GB"/>
              </w:rPr>
              <w:t>15,367</w:t>
            </w:r>
          </w:p>
        </w:tc>
      </w:tr>
      <w:tr w:rsidR="006443D1" w:rsidRPr="00171C2D" w14:paraId="4D99D9E2" w14:textId="77777777" w:rsidTr="006443D1">
        <w:trPr>
          <w:trHeight w:val="400"/>
        </w:trPr>
        <w:tc>
          <w:tcPr>
            <w:tcW w:w="2550" w:type="dxa"/>
            <w:tcBorders>
              <w:top w:val="single" w:sz="8" w:space="0" w:color="000000"/>
              <w:left w:val="single" w:sz="8" w:space="0" w:color="000000"/>
              <w:bottom w:val="single" w:sz="8" w:space="0" w:color="000000"/>
              <w:right w:val="single" w:sz="8" w:space="0" w:color="000000"/>
            </w:tcBorders>
            <w:shd w:val="clear" w:color="auto" w:fill="auto"/>
          </w:tcPr>
          <w:p w14:paraId="78DFA493" w14:textId="77777777" w:rsidR="00B556DE" w:rsidRPr="00171C2D" w:rsidRDefault="000D6BB0" w:rsidP="006443D1">
            <w:pPr>
              <w:widowControl w:val="0"/>
              <w:spacing w:line="240" w:lineRule="auto"/>
              <w:ind w:left="90"/>
              <w:rPr>
                <w:rFonts w:ascii="Avenir" w:eastAsia="Avenir" w:hAnsi="Avenir" w:cs="Avenir"/>
                <w:sz w:val="20"/>
                <w:szCs w:val="20"/>
                <w:lang w:val="en-GB"/>
              </w:rPr>
            </w:pPr>
            <w:r w:rsidRPr="00171C2D">
              <w:rPr>
                <w:rFonts w:ascii="Avenir" w:eastAsia="Avenir" w:hAnsi="Avenir" w:cs="Avenir"/>
                <w:sz w:val="20"/>
                <w:szCs w:val="20"/>
                <w:lang w:val="en-GB"/>
              </w:rPr>
              <w:t>Website services</w:t>
            </w:r>
          </w:p>
        </w:tc>
        <w:tc>
          <w:tcPr>
            <w:tcW w:w="4860" w:type="dxa"/>
            <w:tcBorders>
              <w:top w:val="single" w:sz="8" w:space="0" w:color="000000"/>
              <w:left w:val="single" w:sz="8" w:space="0" w:color="000000"/>
              <w:bottom w:val="single" w:sz="8" w:space="0" w:color="000000"/>
              <w:right w:val="single" w:sz="8" w:space="0" w:color="000000"/>
            </w:tcBorders>
            <w:shd w:val="clear" w:color="auto" w:fill="auto"/>
          </w:tcPr>
          <w:p w14:paraId="36B9A01A" w14:textId="77777777" w:rsidR="00B556DE" w:rsidRPr="00171C2D" w:rsidRDefault="000D6BB0">
            <w:pPr>
              <w:widowControl w:val="0"/>
              <w:spacing w:line="240" w:lineRule="auto"/>
              <w:rPr>
                <w:rFonts w:ascii="Avenir" w:eastAsia="Avenir" w:hAnsi="Avenir" w:cs="Avenir"/>
                <w:sz w:val="20"/>
                <w:szCs w:val="20"/>
                <w:lang w:val="en-GB"/>
              </w:rPr>
            </w:pPr>
            <w:r w:rsidRPr="00171C2D">
              <w:rPr>
                <w:rFonts w:ascii="Avenir" w:eastAsia="Avenir" w:hAnsi="Avenir" w:cs="Avenir"/>
                <w:sz w:val="20"/>
                <w:szCs w:val="20"/>
                <w:lang w:val="en-GB"/>
              </w:rPr>
              <w:t xml:space="preserve">Update and development of websites </w:t>
            </w:r>
          </w:p>
        </w:tc>
        <w:tc>
          <w:tcPr>
            <w:tcW w:w="1935" w:type="dxa"/>
            <w:tcBorders>
              <w:top w:val="single" w:sz="8" w:space="0" w:color="000000"/>
              <w:left w:val="single" w:sz="8" w:space="0" w:color="000000"/>
              <w:bottom w:val="single" w:sz="8" w:space="0" w:color="000000"/>
              <w:right w:val="single" w:sz="8" w:space="0" w:color="000000"/>
            </w:tcBorders>
            <w:shd w:val="clear" w:color="auto" w:fill="auto"/>
          </w:tcPr>
          <w:p w14:paraId="0A3FD34D" w14:textId="4F993DC9" w:rsidR="00B556DE" w:rsidRPr="00171C2D" w:rsidRDefault="009014F3" w:rsidP="006443D1">
            <w:pPr>
              <w:widowControl w:val="0"/>
              <w:spacing w:line="240" w:lineRule="auto"/>
              <w:jc w:val="right"/>
              <w:rPr>
                <w:rFonts w:ascii="Avenir" w:eastAsia="Avenir" w:hAnsi="Avenir" w:cs="Avenir"/>
                <w:sz w:val="20"/>
                <w:szCs w:val="20"/>
                <w:lang w:val="en-GB"/>
              </w:rPr>
            </w:pPr>
            <w:r>
              <w:rPr>
                <w:rFonts w:ascii="Avenir" w:eastAsia="Avenir" w:hAnsi="Avenir" w:cs="Avenir"/>
                <w:sz w:val="20"/>
                <w:szCs w:val="20"/>
                <w:lang w:val="en-GB"/>
              </w:rPr>
              <w:t>GBP </w:t>
            </w:r>
            <w:r w:rsidR="000D6BB0" w:rsidRPr="00171C2D">
              <w:rPr>
                <w:rFonts w:ascii="Avenir" w:eastAsia="Avenir" w:hAnsi="Avenir" w:cs="Avenir"/>
                <w:sz w:val="20"/>
                <w:szCs w:val="20"/>
                <w:lang w:val="en-GB"/>
              </w:rPr>
              <w:t>63,973</w:t>
            </w:r>
          </w:p>
        </w:tc>
      </w:tr>
    </w:tbl>
    <w:p w14:paraId="224893B0" w14:textId="1E95AF6E" w:rsidR="00B556DE" w:rsidRDefault="006443D1" w:rsidP="00771EAF">
      <w:pPr>
        <w:rPr>
          <w:rFonts w:ascii="Avenir" w:eastAsia="Avenir" w:hAnsi="Avenir" w:cs="Avenir"/>
          <w:lang w:val="en-GB"/>
        </w:rPr>
      </w:pPr>
      <w:r w:rsidRPr="006443D1">
        <w:rPr>
          <w:rFonts w:ascii="Avenir" w:eastAsia="Avenir" w:hAnsi="Avenir" w:cs="Avenir"/>
          <w:i/>
          <w:iCs/>
          <w:lang w:val="en-GB"/>
        </w:rPr>
        <w:t>Source</w:t>
      </w:r>
      <w:r>
        <w:rPr>
          <w:rFonts w:ascii="Avenir" w:eastAsia="Avenir" w:hAnsi="Avenir" w:cs="Avenir"/>
          <w:lang w:val="en-GB"/>
        </w:rPr>
        <w:t xml:space="preserve">: </w:t>
      </w:r>
      <w:r w:rsidR="00CD2046">
        <w:rPr>
          <w:rFonts w:ascii="Avenir" w:eastAsia="Avenir" w:hAnsi="Avenir" w:cs="Avenir"/>
          <w:lang w:val="en-GB"/>
        </w:rPr>
        <w:t>Authors´ analysis of invoices returned to the Electoral Commission for the 2019 General Election.</w:t>
      </w:r>
    </w:p>
    <w:p w14:paraId="764EEE57" w14:textId="77777777" w:rsidR="006443D1" w:rsidRPr="00171C2D" w:rsidRDefault="006443D1">
      <w:pPr>
        <w:jc w:val="both"/>
        <w:rPr>
          <w:rFonts w:ascii="Avenir" w:eastAsia="Avenir" w:hAnsi="Avenir" w:cs="Avenir"/>
          <w:lang w:val="en-GB"/>
        </w:rPr>
      </w:pPr>
    </w:p>
    <w:p w14:paraId="55567F95" w14:textId="77777777"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Comparing this category with parties’ own coding of these activities under the Electoral Commission’s headings shows that parties tend to declare these kinds of spend as overheads and general administration, market research/canvassing, </w:t>
      </w:r>
      <w:proofErr w:type="gramStart"/>
      <w:r w:rsidRPr="00171C2D">
        <w:rPr>
          <w:rFonts w:ascii="Avenir" w:eastAsia="Avenir" w:hAnsi="Avenir" w:cs="Avenir"/>
          <w:lang w:val="en-GB"/>
        </w:rPr>
        <w:t>advertising</w:t>
      </w:r>
      <w:proofErr w:type="gramEnd"/>
      <w:r w:rsidRPr="00171C2D">
        <w:rPr>
          <w:rFonts w:ascii="Avenir" w:eastAsia="Avenir" w:hAnsi="Avenir" w:cs="Avenir"/>
          <w:lang w:val="en-GB"/>
        </w:rPr>
        <w:t xml:space="preserve"> or media. There is significant variation in how even the same activity is declared, suggesting that the Electoral Commission’s headings are not effective at consistently capturing this kind of activity. EMBs could create clearer categories for capturing the work utilizing digital technologies, </w:t>
      </w:r>
      <w:proofErr w:type="gramStart"/>
      <w:r w:rsidRPr="00171C2D">
        <w:rPr>
          <w:rFonts w:ascii="Avenir" w:eastAsia="Avenir" w:hAnsi="Avenir" w:cs="Avenir"/>
          <w:lang w:val="en-GB"/>
        </w:rPr>
        <w:t>data</w:t>
      </w:r>
      <w:proofErr w:type="gramEnd"/>
      <w:r w:rsidRPr="00171C2D">
        <w:rPr>
          <w:rFonts w:ascii="Avenir" w:eastAsia="Avenir" w:hAnsi="Avenir" w:cs="Avenir"/>
          <w:lang w:val="en-GB"/>
        </w:rPr>
        <w:t xml:space="preserve"> and infrastructure. These new subcategories can be a basis for beginning this work.</w:t>
      </w:r>
    </w:p>
    <w:p w14:paraId="72695D41" w14:textId="77777777" w:rsidR="00B556DE" w:rsidRPr="00171C2D" w:rsidRDefault="00B556DE">
      <w:pPr>
        <w:jc w:val="both"/>
        <w:rPr>
          <w:rFonts w:ascii="Avenir" w:eastAsia="Avenir" w:hAnsi="Avenir" w:cs="Avenir"/>
          <w:lang w:val="en-GB"/>
        </w:rPr>
      </w:pPr>
    </w:p>
    <w:p w14:paraId="4F2B768E" w14:textId="327AB11E" w:rsidR="00B556DE" w:rsidRPr="00171C2D" w:rsidRDefault="000D6BB0">
      <w:pPr>
        <w:jc w:val="both"/>
        <w:rPr>
          <w:rFonts w:ascii="Avenir" w:eastAsia="Avenir" w:hAnsi="Avenir" w:cs="Avenir"/>
          <w:highlight w:val="white"/>
          <w:lang w:val="en-GB"/>
        </w:rPr>
      </w:pPr>
      <w:r w:rsidRPr="00171C2D">
        <w:rPr>
          <w:rFonts w:ascii="Avenir" w:eastAsia="Avenir" w:hAnsi="Avenir" w:cs="Avenir"/>
          <w:highlight w:val="white"/>
          <w:lang w:val="en-GB"/>
        </w:rPr>
        <w:t>Considerations for the UK Electoral Commission include:</w:t>
      </w:r>
    </w:p>
    <w:p w14:paraId="52CEB170" w14:textId="27B00372" w:rsidR="00B556DE" w:rsidRPr="00171C2D" w:rsidRDefault="000D6BB0" w:rsidP="003C3793">
      <w:pPr>
        <w:numPr>
          <w:ilvl w:val="0"/>
          <w:numId w:val="50"/>
        </w:numPr>
        <w:jc w:val="both"/>
        <w:rPr>
          <w:rFonts w:ascii="Avenir" w:eastAsia="Avenir" w:hAnsi="Avenir" w:cs="Avenir"/>
          <w:lang w:val="en-GB"/>
        </w:rPr>
      </w:pPr>
      <w:r w:rsidRPr="00171C2D">
        <w:rPr>
          <w:rFonts w:ascii="Avenir" w:eastAsia="Avenir" w:hAnsi="Avenir" w:cs="Avenir"/>
          <w:highlight w:val="white"/>
          <w:lang w:val="en-GB"/>
        </w:rPr>
        <w:t xml:space="preserve">Consider having a greater number of categories provided to political parties, to </w:t>
      </w:r>
      <w:proofErr w:type="gramStart"/>
      <w:r w:rsidRPr="00171C2D">
        <w:rPr>
          <w:rFonts w:ascii="Avenir" w:eastAsia="Avenir" w:hAnsi="Avenir" w:cs="Avenir"/>
          <w:highlight w:val="white"/>
          <w:lang w:val="en-GB"/>
        </w:rPr>
        <w:t>more accurately reflect the range of modern campaign activities</w:t>
      </w:r>
      <w:proofErr w:type="gramEnd"/>
      <w:r w:rsidRPr="00171C2D">
        <w:rPr>
          <w:rFonts w:ascii="Avenir" w:eastAsia="Avenir" w:hAnsi="Avenir" w:cs="Avenir"/>
          <w:highlight w:val="white"/>
          <w:lang w:val="en-GB"/>
        </w:rPr>
        <w:t>. These categories should be reviewed regularly in consultation with parties.</w:t>
      </w:r>
      <w:bookmarkStart w:id="11" w:name="_Hlk98171105"/>
      <w:bookmarkEnd w:id="11"/>
    </w:p>
    <w:p w14:paraId="5E79FD76" w14:textId="49D5B1D7" w:rsidR="00B556DE" w:rsidRPr="00171C2D" w:rsidRDefault="000D6BB0">
      <w:pPr>
        <w:pStyle w:val="Heading4"/>
        <w:rPr>
          <w:color w:val="auto"/>
          <w:lang w:val="en-GB"/>
        </w:rPr>
      </w:pPr>
      <w:r w:rsidRPr="00171C2D">
        <w:rPr>
          <w:color w:val="auto"/>
          <w:lang w:val="en-GB"/>
        </w:rPr>
        <w:t>Consultancy</w:t>
      </w:r>
    </w:p>
    <w:p w14:paraId="08FD87AA" w14:textId="2CA03F9A"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Another new category that emerged related to consultancy activity, which the team defined based on invoices using the term consultancy/consulting as a singular activity or </w:t>
      </w:r>
      <w:proofErr w:type="gramStart"/>
      <w:r w:rsidRPr="00171C2D">
        <w:rPr>
          <w:rFonts w:ascii="Avenir" w:eastAsia="Avenir" w:hAnsi="Avenir" w:cs="Avenir"/>
          <w:lang w:val="en-GB"/>
        </w:rPr>
        <w:t>making reference</w:t>
      </w:r>
      <w:proofErr w:type="gramEnd"/>
      <w:r w:rsidRPr="00171C2D">
        <w:rPr>
          <w:rFonts w:ascii="Avenir" w:eastAsia="Avenir" w:hAnsi="Avenir" w:cs="Avenir"/>
          <w:lang w:val="en-GB"/>
        </w:rPr>
        <w:t xml:space="preserve"> to strategic or managerial input to the campaign. It is largely a new category without an easy analogue in the Electoral Commission returns. </w:t>
      </w:r>
    </w:p>
    <w:p w14:paraId="014A388A" w14:textId="77777777" w:rsidR="00B556DE" w:rsidRPr="00171C2D" w:rsidRDefault="00B556DE">
      <w:pPr>
        <w:jc w:val="both"/>
        <w:rPr>
          <w:rFonts w:ascii="Avenir" w:eastAsia="Avenir" w:hAnsi="Avenir" w:cs="Avenir"/>
          <w:iCs/>
          <w:lang w:val="en-GB"/>
        </w:rPr>
      </w:pPr>
    </w:p>
    <w:p w14:paraId="1767A6F4" w14:textId="24BCD442" w:rsidR="00B556DE" w:rsidRPr="00171C2D" w:rsidRDefault="000D6BB0">
      <w:pPr>
        <w:jc w:val="both"/>
        <w:rPr>
          <w:rFonts w:ascii="Avenir" w:eastAsia="Avenir" w:hAnsi="Avenir" w:cs="Avenir"/>
          <w:b/>
          <w:bCs/>
          <w:iCs/>
          <w:lang w:val="en-GB"/>
        </w:rPr>
      </w:pPr>
      <w:r w:rsidRPr="00171C2D">
        <w:rPr>
          <w:rFonts w:ascii="Avenir" w:eastAsia="Avenir" w:hAnsi="Avenir" w:cs="Avenir"/>
          <w:b/>
          <w:bCs/>
          <w:iCs/>
          <w:lang w:val="en-GB"/>
        </w:rPr>
        <w:t>Table 11</w:t>
      </w:r>
      <w:r w:rsidR="009014F3">
        <w:rPr>
          <w:rFonts w:ascii="Avenir" w:eastAsia="Avenir" w:hAnsi="Avenir" w:cs="Avenir"/>
          <w:b/>
          <w:bCs/>
          <w:iCs/>
          <w:lang w:val="en-GB"/>
        </w:rPr>
        <w:t>:</w:t>
      </w:r>
      <w:r w:rsidRPr="00171C2D">
        <w:rPr>
          <w:rFonts w:ascii="Avenir" w:eastAsia="Avenir" w:hAnsi="Avenir" w:cs="Avenir"/>
          <w:b/>
          <w:bCs/>
          <w:iCs/>
          <w:lang w:val="en-GB"/>
        </w:rPr>
        <w:t xml:space="preserve"> Subcategories for the ‘consultants’ category</w:t>
      </w:r>
    </w:p>
    <w:tbl>
      <w:tblPr>
        <w:tblW w:w="9375" w:type="dxa"/>
        <w:tblCellMar>
          <w:top w:w="100" w:type="dxa"/>
          <w:left w:w="100" w:type="dxa"/>
          <w:bottom w:w="100" w:type="dxa"/>
          <w:right w:w="100" w:type="dxa"/>
        </w:tblCellMar>
        <w:tblLook w:val="0600" w:firstRow="0" w:lastRow="0" w:firstColumn="0" w:lastColumn="0" w:noHBand="1" w:noVBand="1"/>
      </w:tblPr>
      <w:tblGrid>
        <w:gridCol w:w="2235"/>
        <w:gridCol w:w="5220"/>
        <w:gridCol w:w="1920"/>
      </w:tblGrid>
      <w:tr w:rsidR="00171C2D" w:rsidRPr="00171C2D" w14:paraId="7EA792F0" w14:textId="77777777" w:rsidTr="006443D1">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7E7CA78B" w14:textId="77777777" w:rsidR="00B556DE" w:rsidRPr="00171C2D" w:rsidRDefault="000D6BB0">
            <w:pPr>
              <w:widowControl w:val="0"/>
              <w:spacing w:line="240" w:lineRule="auto"/>
              <w:rPr>
                <w:rFonts w:ascii="Avenir" w:eastAsia="Avenir" w:hAnsi="Avenir" w:cs="Avenir"/>
                <w:b/>
                <w:sz w:val="20"/>
                <w:szCs w:val="20"/>
                <w:lang w:val="en-GB"/>
              </w:rPr>
            </w:pPr>
            <w:r w:rsidRPr="00171C2D">
              <w:rPr>
                <w:rFonts w:ascii="Avenir" w:eastAsia="Avenir" w:hAnsi="Avenir" w:cs="Avenir"/>
                <w:b/>
                <w:sz w:val="20"/>
                <w:szCs w:val="20"/>
                <w:lang w:val="en-GB"/>
              </w:rPr>
              <w:t>Consultants</w:t>
            </w:r>
          </w:p>
        </w:tc>
        <w:tc>
          <w:tcPr>
            <w:tcW w:w="5220" w:type="dxa"/>
            <w:tcBorders>
              <w:top w:val="single" w:sz="8" w:space="0" w:color="000000"/>
              <w:left w:val="single" w:sz="8" w:space="0" w:color="000000"/>
              <w:bottom w:val="single" w:sz="8" w:space="0" w:color="000000"/>
              <w:right w:val="single" w:sz="8" w:space="0" w:color="000000"/>
            </w:tcBorders>
            <w:shd w:val="clear" w:color="auto" w:fill="auto"/>
          </w:tcPr>
          <w:p w14:paraId="0F348116" w14:textId="77777777" w:rsidR="00B556DE" w:rsidRPr="00171C2D" w:rsidRDefault="000D6BB0">
            <w:pPr>
              <w:widowControl w:val="0"/>
              <w:spacing w:line="240" w:lineRule="auto"/>
              <w:rPr>
                <w:rFonts w:ascii="Avenir" w:eastAsia="Avenir" w:hAnsi="Avenir" w:cs="Avenir"/>
                <w:b/>
                <w:sz w:val="20"/>
                <w:szCs w:val="20"/>
                <w:lang w:val="en-GB"/>
              </w:rPr>
            </w:pPr>
            <w:r w:rsidRPr="00171C2D">
              <w:rPr>
                <w:rFonts w:ascii="Avenir" w:eastAsia="Avenir" w:hAnsi="Avenir" w:cs="Avenir"/>
                <w:b/>
                <w:sz w:val="20"/>
                <w:szCs w:val="20"/>
                <w:lang w:val="en-GB"/>
              </w:rPr>
              <w:t xml:space="preserve">Invoices coded under this category referred to services on strategy, </w:t>
            </w:r>
            <w:proofErr w:type="gramStart"/>
            <w:r w:rsidRPr="00171C2D">
              <w:rPr>
                <w:rFonts w:ascii="Avenir" w:eastAsia="Avenir" w:hAnsi="Avenir" w:cs="Avenir"/>
                <w:b/>
                <w:sz w:val="20"/>
                <w:szCs w:val="20"/>
                <w:lang w:val="en-GB"/>
              </w:rPr>
              <w:t>management</w:t>
            </w:r>
            <w:proofErr w:type="gramEnd"/>
            <w:r w:rsidRPr="00171C2D">
              <w:rPr>
                <w:rFonts w:ascii="Avenir" w:eastAsia="Avenir" w:hAnsi="Avenir" w:cs="Avenir"/>
                <w:b/>
                <w:sz w:val="20"/>
                <w:szCs w:val="20"/>
                <w:lang w:val="en-GB"/>
              </w:rPr>
              <w:t xml:space="preserve"> or consultancy. This refers to instances in which actors are giving strategic advice (as opposed to delivering content or services). This category has four subcategories.</w:t>
            </w:r>
          </w:p>
        </w:tc>
        <w:tc>
          <w:tcPr>
            <w:tcW w:w="1920" w:type="dxa"/>
            <w:tcBorders>
              <w:top w:val="single" w:sz="8" w:space="0" w:color="000000"/>
              <w:left w:val="single" w:sz="8" w:space="0" w:color="000000"/>
              <w:bottom w:val="single" w:sz="8" w:space="0" w:color="000000"/>
              <w:right w:val="single" w:sz="8" w:space="0" w:color="000000"/>
            </w:tcBorders>
            <w:shd w:val="clear" w:color="auto" w:fill="auto"/>
          </w:tcPr>
          <w:p w14:paraId="45F90E54" w14:textId="36A22F40" w:rsidR="00B556DE" w:rsidRPr="00171C2D" w:rsidRDefault="000D6BB0">
            <w:pPr>
              <w:widowControl w:val="0"/>
              <w:spacing w:line="240" w:lineRule="auto"/>
              <w:rPr>
                <w:rFonts w:ascii="Avenir" w:eastAsia="Avenir" w:hAnsi="Avenir" w:cs="Avenir"/>
                <w:b/>
                <w:sz w:val="20"/>
                <w:szCs w:val="20"/>
                <w:lang w:val="en-GB"/>
              </w:rPr>
            </w:pPr>
            <w:proofErr w:type="gramStart"/>
            <w:r w:rsidRPr="00171C2D">
              <w:rPr>
                <w:rFonts w:ascii="Avenir" w:eastAsia="Avenir" w:hAnsi="Avenir" w:cs="Avenir"/>
                <w:b/>
                <w:sz w:val="20"/>
                <w:szCs w:val="20"/>
                <w:lang w:val="en-GB"/>
              </w:rPr>
              <w:t>Total</w:t>
            </w:r>
            <w:proofErr w:type="gramEnd"/>
            <w:r w:rsidRPr="00171C2D">
              <w:rPr>
                <w:rFonts w:ascii="Avenir" w:eastAsia="Avenir" w:hAnsi="Avenir" w:cs="Avenir"/>
                <w:b/>
                <w:sz w:val="20"/>
                <w:szCs w:val="20"/>
                <w:lang w:val="en-GB"/>
              </w:rPr>
              <w:t xml:space="preserve"> spend: </w:t>
            </w:r>
            <w:r w:rsidR="009014F3">
              <w:rPr>
                <w:rFonts w:ascii="Avenir" w:eastAsia="Avenir" w:hAnsi="Avenir" w:cs="Avenir"/>
                <w:b/>
                <w:sz w:val="20"/>
                <w:szCs w:val="20"/>
                <w:lang w:val="en-GB"/>
              </w:rPr>
              <w:t>GBP </w:t>
            </w:r>
            <w:r w:rsidRPr="00171C2D">
              <w:rPr>
                <w:rFonts w:ascii="Avenir" w:eastAsia="Avenir" w:hAnsi="Avenir" w:cs="Avenir"/>
                <w:b/>
                <w:sz w:val="20"/>
                <w:szCs w:val="20"/>
                <w:lang w:val="en-GB"/>
              </w:rPr>
              <w:t>1,164,009</w:t>
            </w:r>
          </w:p>
        </w:tc>
      </w:tr>
      <w:tr w:rsidR="00171C2D" w:rsidRPr="00171C2D" w14:paraId="2524A5A3" w14:textId="77777777" w:rsidTr="006443D1">
        <w:trPr>
          <w:trHeight w:val="400"/>
        </w:trPr>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7DBD0D00" w14:textId="77777777" w:rsidR="00B556DE" w:rsidRPr="00171C2D" w:rsidRDefault="000D6BB0" w:rsidP="006443D1">
            <w:pPr>
              <w:widowControl w:val="0"/>
              <w:spacing w:line="240" w:lineRule="auto"/>
              <w:ind w:left="90"/>
              <w:rPr>
                <w:rFonts w:ascii="Avenir" w:eastAsia="Avenir" w:hAnsi="Avenir" w:cs="Avenir"/>
                <w:sz w:val="20"/>
                <w:szCs w:val="20"/>
                <w:lang w:val="en-GB"/>
              </w:rPr>
            </w:pPr>
            <w:r w:rsidRPr="00171C2D">
              <w:rPr>
                <w:rFonts w:ascii="Avenir" w:eastAsia="Avenir" w:hAnsi="Avenir" w:cs="Avenir"/>
                <w:sz w:val="20"/>
                <w:szCs w:val="20"/>
                <w:lang w:val="en-GB"/>
              </w:rPr>
              <w:t>Consultancy</w:t>
            </w:r>
          </w:p>
        </w:tc>
        <w:tc>
          <w:tcPr>
            <w:tcW w:w="5220" w:type="dxa"/>
            <w:tcBorders>
              <w:top w:val="single" w:sz="8" w:space="0" w:color="000000"/>
              <w:left w:val="single" w:sz="8" w:space="0" w:color="000000"/>
              <w:bottom w:val="single" w:sz="8" w:space="0" w:color="000000"/>
              <w:right w:val="single" w:sz="8" w:space="0" w:color="000000"/>
            </w:tcBorders>
            <w:shd w:val="clear" w:color="auto" w:fill="auto"/>
          </w:tcPr>
          <w:p w14:paraId="58A8B71A" w14:textId="77777777" w:rsidR="00B556DE" w:rsidRPr="00171C2D" w:rsidRDefault="000D6BB0">
            <w:pPr>
              <w:widowControl w:val="0"/>
              <w:spacing w:line="240" w:lineRule="auto"/>
              <w:rPr>
                <w:rFonts w:ascii="Avenir" w:eastAsia="Avenir" w:hAnsi="Avenir" w:cs="Avenir"/>
                <w:sz w:val="20"/>
                <w:szCs w:val="20"/>
                <w:lang w:val="en-GB"/>
              </w:rPr>
            </w:pPr>
            <w:r w:rsidRPr="00171C2D">
              <w:rPr>
                <w:rFonts w:ascii="Avenir" w:eastAsia="Avenir" w:hAnsi="Avenir" w:cs="Avenir"/>
                <w:sz w:val="20"/>
                <w:szCs w:val="20"/>
                <w:lang w:val="en-GB"/>
              </w:rPr>
              <w:t>Where services fell under the general category of ‘consultancy’</w:t>
            </w:r>
          </w:p>
        </w:tc>
        <w:tc>
          <w:tcPr>
            <w:tcW w:w="1920" w:type="dxa"/>
            <w:tcBorders>
              <w:top w:val="single" w:sz="8" w:space="0" w:color="000000"/>
              <w:left w:val="single" w:sz="8" w:space="0" w:color="000000"/>
              <w:bottom w:val="single" w:sz="8" w:space="0" w:color="000000"/>
              <w:right w:val="single" w:sz="8" w:space="0" w:color="000000"/>
            </w:tcBorders>
            <w:shd w:val="clear" w:color="auto" w:fill="auto"/>
          </w:tcPr>
          <w:p w14:paraId="5B855542" w14:textId="3E785EE4" w:rsidR="00B556DE" w:rsidRPr="00171C2D" w:rsidRDefault="009014F3" w:rsidP="006443D1">
            <w:pPr>
              <w:widowControl w:val="0"/>
              <w:spacing w:line="240" w:lineRule="auto"/>
              <w:jc w:val="right"/>
              <w:rPr>
                <w:rFonts w:ascii="Avenir" w:eastAsia="Avenir" w:hAnsi="Avenir" w:cs="Avenir"/>
                <w:sz w:val="20"/>
                <w:szCs w:val="20"/>
                <w:lang w:val="en-GB"/>
              </w:rPr>
            </w:pPr>
            <w:r>
              <w:rPr>
                <w:rFonts w:ascii="Avenir" w:eastAsia="Avenir" w:hAnsi="Avenir" w:cs="Avenir"/>
                <w:sz w:val="20"/>
                <w:szCs w:val="20"/>
                <w:lang w:val="en-GB"/>
              </w:rPr>
              <w:t>GBP </w:t>
            </w:r>
            <w:r w:rsidR="000D6BB0" w:rsidRPr="00171C2D">
              <w:rPr>
                <w:rFonts w:ascii="Avenir" w:eastAsia="Avenir" w:hAnsi="Avenir" w:cs="Avenir"/>
                <w:sz w:val="20"/>
                <w:szCs w:val="20"/>
                <w:lang w:val="en-GB"/>
              </w:rPr>
              <w:t>556,529</w:t>
            </w:r>
          </w:p>
        </w:tc>
      </w:tr>
      <w:tr w:rsidR="00171C2D" w:rsidRPr="00171C2D" w14:paraId="64EC9CE7" w14:textId="77777777" w:rsidTr="006443D1">
        <w:trPr>
          <w:trHeight w:val="400"/>
        </w:trPr>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09F31DD5" w14:textId="77777777" w:rsidR="00B556DE" w:rsidRPr="00171C2D" w:rsidRDefault="000D6BB0" w:rsidP="006443D1">
            <w:pPr>
              <w:widowControl w:val="0"/>
              <w:spacing w:line="240" w:lineRule="auto"/>
              <w:ind w:left="90"/>
              <w:rPr>
                <w:rFonts w:ascii="Avenir" w:eastAsia="Avenir" w:hAnsi="Avenir" w:cs="Avenir"/>
                <w:sz w:val="20"/>
                <w:szCs w:val="20"/>
                <w:lang w:val="en-GB"/>
              </w:rPr>
            </w:pPr>
            <w:r w:rsidRPr="00171C2D">
              <w:rPr>
                <w:rFonts w:ascii="Avenir" w:eastAsia="Avenir" w:hAnsi="Avenir" w:cs="Avenir"/>
                <w:sz w:val="20"/>
                <w:szCs w:val="20"/>
                <w:lang w:val="en-GB"/>
              </w:rPr>
              <w:lastRenderedPageBreak/>
              <w:t>Communication consultants</w:t>
            </w:r>
          </w:p>
        </w:tc>
        <w:tc>
          <w:tcPr>
            <w:tcW w:w="5220" w:type="dxa"/>
            <w:tcBorders>
              <w:top w:val="single" w:sz="8" w:space="0" w:color="000000"/>
              <w:left w:val="single" w:sz="8" w:space="0" w:color="000000"/>
              <w:bottom w:val="single" w:sz="8" w:space="0" w:color="000000"/>
              <w:right w:val="single" w:sz="8" w:space="0" w:color="000000"/>
            </w:tcBorders>
            <w:shd w:val="clear" w:color="auto" w:fill="auto"/>
          </w:tcPr>
          <w:p w14:paraId="4ECC3005" w14:textId="77777777" w:rsidR="00B556DE" w:rsidRPr="00171C2D" w:rsidRDefault="000D6BB0">
            <w:pPr>
              <w:widowControl w:val="0"/>
              <w:spacing w:line="240" w:lineRule="auto"/>
              <w:rPr>
                <w:rFonts w:ascii="Avenir" w:eastAsia="Avenir" w:hAnsi="Avenir" w:cs="Avenir"/>
                <w:sz w:val="20"/>
                <w:szCs w:val="20"/>
                <w:lang w:val="en-GB"/>
              </w:rPr>
            </w:pPr>
            <w:r w:rsidRPr="00171C2D">
              <w:rPr>
                <w:rFonts w:ascii="Avenir" w:eastAsia="Avenir" w:hAnsi="Avenir" w:cs="Avenir"/>
                <w:sz w:val="20"/>
                <w:szCs w:val="20"/>
                <w:lang w:val="en-GB"/>
              </w:rPr>
              <w:t>Strategy and advice around video, online or offline communications</w:t>
            </w:r>
          </w:p>
        </w:tc>
        <w:tc>
          <w:tcPr>
            <w:tcW w:w="1920" w:type="dxa"/>
            <w:tcBorders>
              <w:top w:val="single" w:sz="8" w:space="0" w:color="000000"/>
              <w:left w:val="single" w:sz="8" w:space="0" w:color="000000"/>
              <w:bottom w:val="single" w:sz="8" w:space="0" w:color="000000"/>
              <w:right w:val="single" w:sz="8" w:space="0" w:color="000000"/>
            </w:tcBorders>
            <w:shd w:val="clear" w:color="auto" w:fill="auto"/>
          </w:tcPr>
          <w:p w14:paraId="0A5B2023" w14:textId="7F42503E" w:rsidR="00B556DE" w:rsidRPr="00171C2D" w:rsidRDefault="009014F3" w:rsidP="006443D1">
            <w:pPr>
              <w:widowControl w:val="0"/>
              <w:spacing w:line="240" w:lineRule="auto"/>
              <w:jc w:val="right"/>
              <w:rPr>
                <w:rFonts w:ascii="Avenir" w:eastAsia="Avenir" w:hAnsi="Avenir" w:cs="Avenir"/>
                <w:sz w:val="20"/>
                <w:szCs w:val="20"/>
                <w:lang w:val="en-GB"/>
              </w:rPr>
            </w:pPr>
            <w:r>
              <w:rPr>
                <w:rFonts w:ascii="Avenir" w:eastAsia="Avenir" w:hAnsi="Avenir" w:cs="Avenir"/>
                <w:sz w:val="20"/>
                <w:szCs w:val="20"/>
                <w:lang w:val="en-GB"/>
              </w:rPr>
              <w:t>GBP </w:t>
            </w:r>
            <w:r w:rsidR="000D6BB0" w:rsidRPr="00171C2D">
              <w:rPr>
                <w:rFonts w:ascii="Avenir" w:eastAsia="Avenir" w:hAnsi="Avenir" w:cs="Avenir"/>
                <w:sz w:val="20"/>
                <w:szCs w:val="20"/>
                <w:lang w:val="en-GB"/>
              </w:rPr>
              <w:t>359,466</w:t>
            </w:r>
          </w:p>
        </w:tc>
      </w:tr>
      <w:tr w:rsidR="00171C2D" w:rsidRPr="00171C2D" w14:paraId="5EC1AD77" w14:textId="77777777" w:rsidTr="006443D1">
        <w:trPr>
          <w:trHeight w:val="400"/>
        </w:trPr>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644C40FA" w14:textId="77777777" w:rsidR="00B556DE" w:rsidRPr="00171C2D" w:rsidRDefault="000D6BB0" w:rsidP="006443D1">
            <w:pPr>
              <w:widowControl w:val="0"/>
              <w:spacing w:line="240" w:lineRule="auto"/>
              <w:ind w:left="90"/>
              <w:rPr>
                <w:rFonts w:ascii="Avenir" w:eastAsia="Avenir" w:hAnsi="Avenir" w:cs="Avenir"/>
                <w:sz w:val="20"/>
                <w:szCs w:val="20"/>
                <w:lang w:val="en-GB"/>
              </w:rPr>
            </w:pPr>
            <w:r w:rsidRPr="00171C2D">
              <w:rPr>
                <w:rFonts w:ascii="Avenir" w:eastAsia="Avenir" w:hAnsi="Avenir" w:cs="Avenir"/>
                <w:sz w:val="20"/>
                <w:szCs w:val="20"/>
                <w:lang w:val="en-GB"/>
              </w:rPr>
              <w:t>Design consultants</w:t>
            </w:r>
          </w:p>
        </w:tc>
        <w:tc>
          <w:tcPr>
            <w:tcW w:w="5220" w:type="dxa"/>
            <w:tcBorders>
              <w:top w:val="single" w:sz="8" w:space="0" w:color="000000"/>
              <w:left w:val="single" w:sz="8" w:space="0" w:color="000000"/>
              <w:bottom w:val="single" w:sz="8" w:space="0" w:color="000000"/>
              <w:right w:val="single" w:sz="8" w:space="0" w:color="000000"/>
            </w:tcBorders>
            <w:shd w:val="clear" w:color="auto" w:fill="auto"/>
          </w:tcPr>
          <w:p w14:paraId="5C65A8B6" w14:textId="77777777" w:rsidR="00B556DE" w:rsidRPr="00171C2D" w:rsidRDefault="000D6BB0">
            <w:pPr>
              <w:widowControl w:val="0"/>
              <w:spacing w:line="240" w:lineRule="auto"/>
              <w:rPr>
                <w:rFonts w:ascii="Avenir" w:eastAsia="Avenir" w:hAnsi="Avenir" w:cs="Avenir"/>
                <w:sz w:val="20"/>
                <w:szCs w:val="20"/>
                <w:lang w:val="en-GB"/>
              </w:rPr>
            </w:pPr>
            <w:r w:rsidRPr="00171C2D">
              <w:rPr>
                <w:rFonts w:ascii="Avenir" w:eastAsia="Avenir" w:hAnsi="Avenir" w:cs="Avenir"/>
                <w:sz w:val="20"/>
                <w:szCs w:val="20"/>
                <w:lang w:val="en-GB"/>
              </w:rPr>
              <w:t>Strategy and advice around the design of certain materials and messages</w:t>
            </w:r>
          </w:p>
        </w:tc>
        <w:tc>
          <w:tcPr>
            <w:tcW w:w="1920" w:type="dxa"/>
            <w:tcBorders>
              <w:top w:val="single" w:sz="8" w:space="0" w:color="000000"/>
              <w:left w:val="single" w:sz="8" w:space="0" w:color="000000"/>
              <w:bottom w:val="single" w:sz="8" w:space="0" w:color="000000"/>
              <w:right w:val="single" w:sz="8" w:space="0" w:color="000000"/>
            </w:tcBorders>
            <w:shd w:val="clear" w:color="auto" w:fill="auto"/>
          </w:tcPr>
          <w:p w14:paraId="43062B8E" w14:textId="4F30BC68" w:rsidR="00B556DE" w:rsidRPr="00171C2D" w:rsidRDefault="009014F3" w:rsidP="006443D1">
            <w:pPr>
              <w:widowControl w:val="0"/>
              <w:spacing w:line="240" w:lineRule="auto"/>
              <w:jc w:val="right"/>
              <w:rPr>
                <w:rFonts w:ascii="Avenir" w:eastAsia="Avenir" w:hAnsi="Avenir" w:cs="Avenir"/>
                <w:sz w:val="20"/>
                <w:szCs w:val="20"/>
                <w:lang w:val="en-GB"/>
              </w:rPr>
            </w:pPr>
            <w:r>
              <w:rPr>
                <w:rFonts w:ascii="Avenir" w:eastAsia="Avenir" w:hAnsi="Avenir" w:cs="Avenir"/>
                <w:sz w:val="20"/>
                <w:szCs w:val="20"/>
                <w:lang w:val="en-GB"/>
              </w:rPr>
              <w:t>GBP </w:t>
            </w:r>
            <w:r w:rsidR="000D6BB0" w:rsidRPr="00171C2D">
              <w:rPr>
                <w:rFonts w:ascii="Avenir" w:eastAsia="Avenir" w:hAnsi="Avenir" w:cs="Avenir"/>
                <w:sz w:val="20"/>
                <w:szCs w:val="20"/>
                <w:lang w:val="en-GB"/>
              </w:rPr>
              <w:t>101,020</w:t>
            </w:r>
          </w:p>
        </w:tc>
      </w:tr>
      <w:tr w:rsidR="00171C2D" w:rsidRPr="00171C2D" w14:paraId="60196A67" w14:textId="77777777" w:rsidTr="006443D1">
        <w:trPr>
          <w:trHeight w:val="400"/>
        </w:trPr>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4728A7FD" w14:textId="77777777" w:rsidR="00B556DE" w:rsidRPr="00171C2D" w:rsidRDefault="000D6BB0" w:rsidP="006443D1">
            <w:pPr>
              <w:widowControl w:val="0"/>
              <w:spacing w:line="240" w:lineRule="auto"/>
              <w:ind w:left="90"/>
              <w:rPr>
                <w:rFonts w:ascii="Avenir" w:eastAsia="Avenir" w:hAnsi="Avenir" w:cs="Avenir"/>
                <w:sz w:val="20"/>
                <w:szCs w:val="20"/>
                <w:lang w:val="en-GB"/>
              </w:rPr>
            </w:pPr>
            <w:r w:rsidRPr="00171C2D">
              <w:rPr>
                <w:rFonts w:ascii="Avenir" w:eastAsia="Avenir" w:hAnsi="Avenir" w:cs="Avenir"/>
                <w:sz w:val="20"/>
                <w:szCs w:val="20"/>
                <w:lang w:val="en-GB"/>
              </w:rPr>
              <w:t>Social media strategy and consultancy</w:t>
            </w:r>
          </w:p>
        </w:tc>
        <w:tc>
          <w:tcPr>
            <w:tcW w:w="5220" w:type="dxa"/>
            <w:tcBorders>
              <w:top w:val="single" w:sz="8" w:space="0" w:color="000000"/>
              <w:left w:val="single" w:sz="8" w:space="0" w:color="000000"/>
              <w:bottom w:val="single" w:sz="8" w:space="0" w:color="000000"/>
              <w:right w:val="single" w:sz="8" w:space="0" w:color="000000"/>
            </w:tcBorders>
            <w:shd w:val="clear" w:color="auto" w:fill="auto"/>
          </w:tcPr>
          <w:p w14:paraId="7DC1751D" w14:textId="77777777" w:rsidR="00B556DE" w:rsidRPr="00171C2D" w:rsidRDefault="000D6BB0">
            <w:pPr>
              <w:widowControl w:val="0"/>
              <w:spacing w:line="240" w:lineRule="auto"/>
              <w:rPr>
                <w:rFonts w:ascii="Avenir" w:eastAsia="Avenir" w:hAnsi="Avenir" w:cs="Avenir"/>
                <w:sz w:val="20"/>
                <w:szCs w:val="20"/>
                <w:lang w:val="en-GB"/>
              </w:rPr>
            </w:pPr>
            <w:r w:rsidRPr="00171C2D">
              <w:rPr>
                <w:rFonts w:ascii="Avenir" w:eastAsia="Avenir" w:hAnsi="Avenir" w:cs="Avenir"/>
                <w:sz w:val="20"/>
                <w:szCs w:val="20"/>
                <w:lang w:val="en-GB"/>
              </w:rPr>
              <w:t>Strategy and advice specifically relating to social media plans</w:t>
            </w:r>
          </w:p>
        </w:tc>
        <w:tc>
          <w:tcPr>
            <w:tcW w:w="1920" w:type="dxa"/>
            <w:tcBorders>
              <w:top w:val="single" w:sz="8" w:space="0" w:color="000000"/>
              <w:left w:val="single" w:sz="8" w:space="0" w:color="000000"/>
              <w:bottom w:val="single" w:sz="8" w:space="0" w:color="000000"/>
              <w:right w:val="single" w:sz="8" w:space="0" w:color="000000"/>
            </w:tcBorders>
            <w:shd w:val="clear" w:color="auto" w:fill="auto"/>
          </w:tcPr>
          <w:p w14:paraId="01B6E26F" w14:textId="1910F3CA" w:rsidR="00B556DE" w:rsidRPr="00171C2D" w:rsidRDefault="009014F3" w:rsidP="006443D1">
            <w:pPr>
              <w:widowControl w:val="0"/>
              <w:spacing w:line="240" w:lineRule="auto"/>
              <w:jc w:val="right"/>
              <w:rPr>
                <w:rFonts w:ascii="Avenir" w:eastAsia="Avenir" w:hAnsi="Avenir" w:cs="Avenir"/>
                <w:sz w:val="20"/>
                <w:szCs w:val="20"/>
                <w:lang w:val="en-GB"/>
              </w:rPr>
            </w:pPr>
            <w:r>
              <w:rPr>
                <w:rFonts w:ascii="Avenir" w:eastAsia="Avenir" w:hAnsi="Avenir" w:cs="Avenir"/>
                <w:sz w:val="20"/>
                <w:szCs w:val="20"/>
                <w:lang w:val="en-GB"/>
              </w:rPr>
              <w:t>GBP </w:t>
            </w:r>
            <w:r w:rsidR="000D6BB0" w:rsidRPr="00171C2D">
              <w:rPr>
                <w:rFonts w:ascii="Avenir" w:eastAsia="Avenir" w:hAnsi="Avenir" w:cs="Avenir"/>
                <w:sz w:val="20"/>
                <w:szCs w:val="20"/>
                <w:lang w:val="en-GB"/>
              </w:rPr>
              <w:t>9,533</w:t>
            </w:r>
          </w:p>
        </w:tc>
      </w:tr>
      <w:tr w:rsidR="006443D1" w:rsidRPr="00171C2D" w14:paraId="4A687A00" w14:textId="77777777" w:rsidTr="006443D1">
        <w:trPr>
          <w:trHeight w:val="400"/>
        </w:trPr>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4A13E675" w14:textId="77777777" w:rsidR="00B556DE" w:rsidRPr="00171C2D" w:rsidRDefault="000D6BB0" w:rsidP="006443D1">
            <w:pPr>
              <w:widowControl w:val="0"/>
              <w:spacing w:line="240" w:lineRule="auto"/>
              <w:ind w:left="90"/>
              <w:rPr>
                <w:rFonts w:ascii="Avenir" w:eastAsia="Avenir" w:hAnsi="Avenir" w:cs="Avenir"/>
                <w:sz w:val="20"/>
                <w:szCs w:val="20"/>
                <w:lang w:val="en-GB"/>
              </w:rPr>
            </w:pPr>
            <w:r w:rsidRPr="00171C2D">
              <w:rPr>
                <w:rFonts w:ascii="Avenir" w:eastAsia="Avenir" w:hAnsi="Avenir" w:cs="Avenir"/>
                <w:sz w:val="20"/>
                <w:szCs w:val="20"/>
                <w:lang w:val="en-GB"/>
              </w:rPr>
              <w:t>Data consultancy</w:t>
            </w:r>
          </w:p>
        </w:tc>
        <w:tc>
          <w:tcPr>
            <w:tcW w:w="5220" w:type="dxa"/>
            <w:tcBorders>
              <w:top w:val="single" w:sz="8" w:space="0" w:color="000000"/>
              <w:left w:val="single" w:sz="8" w:space="0" w:color="000000"/>
              <w:bottom w:val="single" w:sz="8" w:space="0" w:color="000000"/>
              <w:right w:val="single" w:sz="8" w:space="0" w:color="000000"/>
            </w:tcBorders>
            <w:shd w:val="clear" w:color="auto" w:fill="auto"/>
          </w:tcPr>
          <w:p w14:paraId="787CFCB4" w14:textId="77777777" w:rsidR="00B556DE" w:rsidRPr="00171C2D" w:rsidRDefault="000D6BB0">
            <w:pPr>
              <w:widowControl w:val="0"/>
              <w:spacing w:line="240" w:lineRule="auto"/>
              <w:rPr>
                <w:rFonts w:ascii="Avenir" w:eastAsia="Avenir" w:hAnsi="Avenir" w:cs="Avenir"/>
                <w:sz w:val="20"/>
                <w:szCs w:val="20"/>
                <w:lang w:val="en-GB"/>
              </w:rPr>
            </w:pPr>
            <w:r w:rsidRPr="00171C2D">
              <w:rPr>
                <w:rFonts w:ascii="Avenir" w:eastAsia="Avenir" w:hAnsi="Avenir" w:cs="Avenir"/>
                <w:sz w:val="20"/>
                <w:szCs w:val="20"/>
                <w:lang w:val="en-GB"/>
              </w:rPr>
              <w:t>Strategy and advice around the utilization of data in campaigns</w:t>
            </w:r>
          </w:p>
        </w:tc>
        <w:tc>
          <w:tcPr>
            <w:tcW w:w="1920" w:type="dxa"/>
            <w:tcBorders>
              <w:top w:val="single" w:sz="8" w:space="0" w:color="000000"/>
              <w:left w:val="single" w:sz="8" w:space="0" w:color="000000"/>
              <w:bottom w:val="single" w:sz="8" w:space="0" w:color="000000"/>
              <w:right w:val="single" w:sz="8" w:space="0" w:color="000000"/>
            </w:tcBorders>
            <w:shd w:val="clear" w:color="auto" w:fill="auto"/>
          </w:tcPr>
          <w:p w14:paraId="6DF77C4D" w14:textId="5BE7AEB8" w:rsidR="00B556DE" w:rsidRPr="00171C2D" w:rsidRDefault="009014F3" w:rsidP="006443D1">
            <w:pPr>
              <w:widowControl w:val="0"/>
              <w:spacing w:line="240" w:lineRule="auto"/>
              <w:jc w:val="right"/>
              <w:rPr>
                <w:rFonts w:ascii="Avenir" w:eastAsia="Avenir" w:hAnsi="Avenir" w:cs="Avenir"/>
                <w:sz w:val="20"/>
                <w:szCs w:val="20"/>
                <w:lang w:val="en-GB"/>
              </w:rPr>
            </w:pPr>
            <w:r>
              <w:rPr>
                <w:rFonts w:ascii="Avenir" w:eastAsia="Avenir" w:hAnsi="Avenir" w:cs="Avenir"/>
                <w:sz w:val="20"/>
                <w:szCs w:val="20"/>
                <w:lang w:val="en-GB"/>
              </w:rPr>
              <w:t>GBP </w:t>
            </w:r>
            <w:r w:rsidR="000D6BB0" w:rsidRPr="00171C2D">
              <w:rPr>
                <w:rFonts w:ascii="Avenir" w:eastAsia="Avenir" w:hAnsi="Avenir" w:cs="Avenir"/>
                <w:sz w:val="20"/>
                <w:szCs w:val="20"/>
                <w:lang w:val="en-GB"/>
              </w:rPr>
              <w:t>137,460</w:t>
            </w:r>
          </w:p>
        </w:tc>
      </w:tr>
    </w:tbl>
    <w:p w14:paraId="256DC99B" w14:textId="120CD31A" w:rsidR="006443D1" w:rsidRPr="00171C2D" w:rsidRDefault="006443D1">
      <w:pPr>
        <w:jc w:val="both"/>
        <w:rPr>
          <w:rFonts w:ascii="Avenir" w:eastAsia="Avenir" w:hAnsi="Avenir" w:cs="Avenir"/>
          <w:lang w:val="en-GB"/>
        </w:rPr>
      </w:pPr>
      <w:r w:rsidRPr="006443D1">
        <w:rPr>
          <w:rFonts w:ascii="Avenir" w:eastAsia="Avenir" w:hAnsi="Avenir" w:cs="Avenir"/>
          <w:i/>
          <w:iCs/>
          <w:lang w:val="en-GB"/>
        </w:rPr>
        <w:t>Source</w:t>
      </w:r>
      <w:r>
        <w:rPr>
          <w:rFonts w:ascii="Avenir" w:eastAsia="Avenir" w:hAnsi="Avenir" w:cs="Avenir"/>
          <w:lang w:val="en-GB"/>
        </w:rPr>
        <w:t>:</w:t>
      </w:r>
      <w:r w:rsidR="00CD2046">
        <w:rPr>
          <w:rFonts w:ascii="Avenir" w:eastAsia="Avenir" w:hAnsi="Avenir" w:cs="Avenir"/>
          <w:lang w:val="en-GB"/>
        </w:rPr>
        <w:t xml:space="preserve"> Authors´ analysis of invoices returned to the Electoral Commission for the 2019 General Election.</w:t>
      </w:r>
    </w:p>
    <w:p w14:paraId="6DFC082F" w14:textId="3703AC98"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Under this heading, the research team identified four subcategories that captured total expenditure of </w:t>
      </w:r>
      <w:r w:rsidR="009014F3">
        <w:rPr>
          <w:rFonts w:ascii="Avenir" w:eastAsia="Avenir" w:hAnsi="Avenir" w:cs="Avenir"/>
          <w:lang w:val="en-GB"/>
        </w:rPr>
        <w:t>GBP </w:t>
      </w:r>
      <w:r w:rsidRPr="00171C2D">
        <w:rPr>
          <w:rFonts w:ascii="Avenir" w:eastAsia="Avenir" w:hAnsi="Avenir" w:cs="Avenir"/>
          <w:lang w:val="en-GB"/>
        </w:rPr>
        <w:t xml:space="preserve">1,164,009, or 2.4 per cent of total spend examined (see Table 11). This revealed a variety of different types of consultancy work, with general consultancy being the primary service provided, at </w:t>
      </w:r>
      <w:r w:rsidR="009014F3">
        <w:rPr>
          <w:rFonts w:ascii="Avenir" w:eastAsia="Avenir" w:hAnsi="Avenir" w:cs="Avenir"/>
          <w:lang w:val="en-GB"/>
        </w:rPr>
        <w:t>GBP </w:t>
      </w:r>
      <w:r w:rsidRPr="00171C2D">
        <w:rPr>
          <w:rFonts w:ascii="Avenir" w:eastAsia="Avenir" w:hAnsi="Avenir" w:cs="Avenir"/>
          <w:lang w:val="en-GB"/>
        </w:rPr>
        <w:t>556,529. A not insignificant amount of money was spent on communication consultants (</w:t>
      </w:r>
      <w:r w:rsidR="009014F3">
        <w:rPr>
          <w:rFonts w:ascii="Avenir" w:eastAsia="Avenir" w:hAnsi="Avenir" w:cs="Avenir"/>
          <w:lang w:val="en-GB"/>
        </w:rPr>
        <w:t>GBP </w:t>
      </w:r>
      <w:r w:rsidRPr="00171C2D">
        <w:rPr>
          <w:rFonts w:ascii="Avenir" w:eastAsia="Avenir" w:hAnsi="Avenir" w:cs="Avenir"/>
          <w:lang w:val="en-GB"/>
        </w:rPr>
        <w:t>359,466) and on design consultancy (</w:t>
      </w:r>
      <w:r w:rsidR="009014F3">
        <w:rPr>
          <w:rFonts w:ascii="Avenir" w:eastAsia="Avenir" w:hAnsi="Avenir" w:cs="Avenir"/>
          <w:lang w:val="en-GB"/>
        </w:rPr>
        <w:t>GBP </w:t>
      </w:r>
      <w:r w:rsidRPr="00171C2D">
        <w:rPr>
          <w:rFonts w:ascii="Avenir" w:eastAsia="Avenir" w:hAnsi="Avenir" w:cs="Avenir"/>
          <w:lang w:val="en-GB"/>
        </w:rPr>
        <w:t xml:space="preserve">101,020). Less than expected was spent on consultants specifically working on social media (just </w:t>
      </w:r>
      <w:r w:rsidR="009014F3">
        <w:rPr>
          <w:rFonts w:ascii="Avenir" w:eastAsia="Avenir" w:hAnsi="Avenir" w:cs="Avenir"/>
          <w:lang w:val="en-GB"/>
        </w:rPr>
        <w:t>GBP </w:t>
      </w:r>
      <w:r w:rsidRPr="00171C2D">
        <w:rPr>
          <w:rFonts w:ascii="Avenir" w:eastAsia="Avenir" w:hAnsi="Avenir" w:cs="Avenir"/>
          <w:lang w:val="en-GB"/>
        </w:rPr>
        <w:t xml:space="preserve">9,533), a particularly striking finding given the prominent emphasis on social media advertising at recent elections and the spend coded under this advertising category. This suggests that either parties are designing and fielding their own advertising online, rather than paying external consultants to perform this role, or that this kind of work is conducted as part of a more generalized consultancy package. </w:t>
      </w:r>
    </w:p>
    <w:p w14:paraId="78D2F020" w14:textId="77777777" w:rsidR="00B556DE" w:rsidRPr="00171C2D" w:rsidRDefault="00B556DE">
      <w:pPr>
        <w:jc w:val="both"/>
        <w:rPr>
          <w:rFonts w:ascii="Avenir" w:eastAsia="Avenir" w:hAnsi="Avenir" w:cs="Avenir"/>
          <w:lang w:val="en-GB"/>
        </w:rPr>
      </w:pPr>
    </w:p>
    <w:p w14:paraId="3E7F7B28" w14:textId="0A6A4D48"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Interestingly, the invoices identified as related to consultancy were mostly categorized under the Electoral Commission’s headings of ‘overheads and administration’ or ‘advertising’, suggesting once again that existing categories are not adept at accurately and consistently capturing different types of activity that is done at the senior or strategic level by suppliers. EMBs should provide a greater number of categories which reflect this activity. In addition, political parties in any country should give more detail on the services conducted by suppliers when reporting their spends. </w:t>
      </w:r>
    </w:p>
    <w:p w14:paraId="3BA4953C" w14:textId="77777777" w:rsidR="00B556DE" w:rsidRPr="00171C2D" w:rsidRDefault="000D6BB0">
      <w:pPr>
        <w:pStyle w:val="Heading4"/>
        <w:rPr>
          <w:color w:val="auto"/>
          <w:lang w:val="en-GB"/>
        </w:rPr>
      </w:pPr>
      <w:r w:rsidRPr="00171C2D">
        <w:rPr>
          <w:color w:val="auto"/>
          <w:lang w:val="en-GB"/>
        </w:rPr>
        <w:t>Miscellaneous</w:t>
      </w:r>
    </w:p>
    <w:p w14:paraId="33FDE142" w14:textId="108FD1F8"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The final substantive category, miscellaneous, captured a range of activity that the research team felt did not fall within the other categories. It was composed of eight subcategories: miscellaneous, catering, accommodation, expenses, office supplies, physical security, </w:t>
      </w:r>
      <w:proofErr w:type="gramStart"/>
      <w:r w:rsidRPr="00171C2D">
        <w:rPr>
          <w:rFonts w:ascii="Avenir" w:eastAsia="Avenir" w:hAnsi="Avenir" w:cs="Avenir"/>
          <w:lang w:val="en-GB"/>
        </w:rPr>
        <w:t>recruitment</w:t>
      </w:r>
      <w:proofErr w:type="gramEnd"/>
      <w:r w:rsidRPr="00171C2D">
        <w:rPr>
          <w:rFonts w:ascii="Avenir" w:eastAsia="Avenir" w:hAnsi="Avenir" w:cs="Avenir"/>
          <w:lang w:val="en-GB"/>
        </w:rPr>
        <w:t xml:space="preserve"> and transport (outside of the Electoral Commission’s transport category that had already been excluded). These headings accounted for </w:t>
      </w:r>
      <w:r w:rsidR="009014F3">
        <w:rPr>
          <w:rFonts w:ascii="Avenir" w:eastAsia="Avenir" w:hAnsi="Avenir" w:cs="Avenir"/>
          <w:lang w:val="en-GB"/>
        </w:rPr>
        <w:t>GBP </w:t>
      </w:r>
      <w:r w:rsidRPr="00171C2D">
        <w:rPr>
          <w:rFonts w:ascii="Avenir" w:eastAsia="Avenir" w:hAnsi="Avenir" w:cs="Avenir"/>
          <w:lang w:val="en-GB"/>
        </w:rPr>
        <w:t>1,120,894 of total expenditure (2.3</w:t>
      </w:r>
      <w:r w:rsidR="009014F3">
        <w:rPr>
          <w:rFonts w:ascii="Avenir" w:eastAsia="Avenir" w:hAnsi="Avenir" w:cs="Avenir"/>
          <w:lang w:val="en-GB"/>
        </w:rPr>
        <w:t> per cent</w:t>
      </w:r>
      <w:r w:rsidRPr="00171C2D">
        <w:rPr>
          <w:rFonts w:ascii="Avenir" w:eastAsia="Avenir" w:hAnsi="Avenir" w:cs="Avenir"/>
          <w:lang w:val="en-GB"/>
        </w:rPr>
        <w:t xml:space="preserve">). </w:t>
      </w:r>
    </w:p>
    <w:p w14:paraId="73990DF7" w14:textId="77777777" w:rsidR="00B556DE" w:rsidRPr="00171C2D" w:rsidRDefault="000D6BB0">
      <w:pPr>
        <w:pStyle w:val="Heading4"/>
        <w:rPr>
          <w:color w:val="auto"/>
          <w:lang w:val="en-GB"/>
        </w:rPr>
      </w:pPr>
      <w:r w:rsidRPr="00171C2D">
        <w:rPr>
          <w:color w:val="auto"/>
          <w:lang w:val="en-GB"/>
        </w:rPr>
        <w:t>Unclear</w:t>
      </w:r>
    </w:p>
    <w:p w14:paraId="51B9AF85" w14:textId="074102BF" w:rsidR="00B556DE" w:rsidRPr="00171C2D" w:rsidRDefault="000D6BB0">
      <w:pPr>
        <w:jc w:val="both"/>
        <w:rPr>
          <w:rFonts w:ascii="Avenir" w:eastAsia="Avenir" w:hAnsi="Avenir" w:cs="Avenir"/>
          <w:i/>
          <w:lang w:val="en-GB"/>
        </w:rPr>
      </w:pPr>
      <w:r w:rsidRPr="00171C2D">
        <w:rPr>
          <w:rFonts w:ascii="Avenir" w:eastAsia="Avenir" w:hAnsi="Avenir" w:cs="Avenir"/>
          <w:lang w:val="en-GB"/>
        </w:rPr>
        <w:t xml:space="preserve">Finally, as discussed in section 2.2, the research team’s coding also revealed </w:t>
      </w:r>
      <w:proofErr w:type="gramStart"/>
      <w:r w:rsidRPr="00171C2D">
        <w:rPr>
          <w:rFonts w:ascii="Avenir" w:eastAsia="Avenir" w:hAnsi="Avenir" w:cs="Avenir"/>
          <w:lang w:val="en-GB"/>
        </w:rPr>
        <w:t>a number of</w:t>
      </w:r>
      <w:proofErr w:type="gramEnd"/>
      <w:r w:rsidRPr="00171C2D">
        <w:rPr>
          <w:rFonts w:ascii="Avenir" w:eastAsia="Avenir" w:hAnsi="Avenir" w:cs="Avenir"/>
          <w:lang w:val="en-GB"/>
        </w:rPr>
        <w:t xml:space="preserve"> ‘completely unclear’ invoices. Strikingly, these invoices account for </w:t>
      </w:r>
      <w:r w:rsidR="009014F3">
        <w:rPr>
          <w:rFonts w:ascii="Avenir" w:eastAsia="Avenir" w:hAnsi="Avenir" w:cs="Avenir"/>
          <w:lang w:val="en-GB"/>
        </w:rPr>
        <w:t>GBP </w:t>
      </w:r>
      <w:r w:rsidRPr="00171C2D">
        <w:rPr>
          <w:rFonts w:ascii="Avenir" w:eastAsia="Avenir" w:hAnsi="Avenir" w:cs="Avenir"/>
          <w:lang w:val="en-GB"/>
        </w:rPr>
        <w:t>6,628,924 (or 13.7</w:t>
      </w:r>
      <w:r w:rsidR="009014F3">
        <w:rPr>
          <w:rFonts w:ascii="Avenir" w:eastAsia="Avenir" w:hAnsi="Avenir" w:cs="Avenir"/>
          <w:lang w:val="en-GB"/>
        </w:rPr>
        <w:t> per cent</w:t>
      </w:r>
      <w:r w:rsidRPr="00171C2D">
        <w:rPr>
          <w:rFonts w:ascii="Avenir" w:eastAsia="Avenir" w:hAnsi="Avenir" w:cs="Avenir"/>
          <w:lang w:val="en-GB"/>
        </w:rPr>
        <w:t xml:space="preserve">) of total spend investigated from the 2019 General Election. This means that it is unclear what over 1 pound in every 10 was spent on. It is also worth stating that this characterization is likely to be on the low side. There were many invoices that weren’t completely unclear, but which gave very little detail </w:t>
      </w:r>
      <w:r w:rsidRPr="00171C2D">
        <w:rPr>
          <w:rFonts w:ascii="Avenir" w:eastAsia="Avenir" w:hAnsi="Avenir" w:cs="Avenir"/>
          <w:lang w:val="en-GB"/>
        </w:rPr>
        <w:lastRenderedPageBreak/>
        <w:t>about the specific activity (examples given above include that of the general ‘research’ and ‘consultancy’ categories), meaning that they may have been coded under categories that do not truly reflect the activity undertaken.</w:t>
      </w:r>
    </w:p>
    <w:p w14:paraId="5B8F65A5" w14:textId="77777777" w:rsidR="00B556DE" w:rsidRPr="00171C2D" w:rsidRDefault="00B556DE">
      <w:pPr>
        <w:jc w:val="both"/>
        <w:rPr>
          <w:rFonts w:ascii="Avenir" w:eastAsia="Avenir" w:hAnsi="Avenir" w:cs="Avenir"/>
          <w:lang w:val="en-GB"/>
        </w:rPr>
      </w:pPr>
    </w:p>
    <w:tbl>
      <w:tblPr>
        <w:tblW w:w="9360" w:type="dxa"/>
        <w:tblCellMar>
          <w:top w:w="100" w:type="dxa"/>
          <w:left w:w="100" w:type="dxa"/>
          <w:bottom w:w="100" w:type="dxa"/>
          <w:right w:w="100" w:type="dxa"/>
        </w:tblCellMar>
        <w:tblLook w:val="0600" w:firstRow="0" w:lastRow="0" w:firstColumn="0" w:lastColumn="0" w:noHBand="1" w:noVBand="1"/>
      </w:tblPr>
      <w:tblGrid>
        <w:gridCol w:w="9360"/>
      </w:tblGrid>
      <w:tr w:rsidR="007E2213" w:rsidRPr="00171C2D" w14:paraId="54CA4122" w14:textId="77777777">
        <w:tc>
          <w:tcPr>
            <w:tcW w:w="9360" w:type="dxa"/>
            <w:tcBorders>
              <w:top w:val="single" w:sz="8" w:space="0" w:color="000000"/>
              <w:left w:val="single" w:sz="8" w:space="0" w:color="000000"/>
              <w:bottom w:val="single" w:sz="8" w:space="0" w:color="000000"/>
              <w:right w:val="single" w:sz="8" w:space="0" w:color="000000"/>
            </w:tcBorders>
            <w:shd w:val="clear" w:color="auto" w:fill="auto"/>
          </w:tcPr>
          <w:p w14:paraId="273B4D19" w14:textId="77777777" w:rsidR="00B556DE" w:rsidRPr="007E2213" w:rsidRDefault="000D6BB0">
            <w:pPr>
              <w:widowControl w:val="0"/>
              <w:spacing w:line="240" w:lineRule="auto"/>
              <w:rPr>
                <w:rFonts w:ascii="Avenir" w:eastAsia="Avenir" w:hAnsi="Avenir" w:cs="Avenir"/>
                <w:b/>
                <w:bCs/>
                <w:lang w:val="en-GB"/>
              </w:rPr>
            </w:pPr>
            <w:r w:rsidRPr="00953F5D">
              <w:rPr>
                <w:rFonts w:ascii="Avenir" w:eastAsia="Avenir" w:hAnsi="Avenir" w:cs="Avenir"/>
                <w:b/>
                <w:bCs/>
                <w:lang w:val="en-GB"/>
              </w:rPr>
              <w:t>Section summary</w:t>
            </w:r>
          </w:p>
          <w:p w14:paraId="29098FFA" w14:textId="77777777" w:rsidR="00B556DE" w:rsidRPr="00171C2D" w:rsidRDefault="00B556DE" w:rsidP="007E2213">
            <w:pPr>
              <w:widowControl w:val="0"/>
              <w:spacing w:line="240" w:lineRule="auto"/>
              <w:rPr>
                <w:rFonts w:ascii="Avenir" w:eastAsia="Avenir" w:hAnsi="Avenir" w:cs="Avenir"/>
                <w:lang w:val="en-GB"/>
              </w:rPr>
            </w:pPr>
          </w:p>
          <w:p w14:paraId="6EE51FC4" w14:textId="77777777" w:rsidR="00B556DE" w:rsidRPr="007E2213" w:rsidRDefault="000D6BB0" w:rsidP="007E2213">
            <w:pPr>
              <w:pStyle w:val="ListParagraph"/>
              <w:widowControl w:val="0"/>
              <w:numPr>
                <w:ilvl w:val="0"/>
                <w:numId w:val="62"/>
              </w:numPr>
              <w:spacing w:line="240" w:lineRule="auto"/>
              <w:rPr>
                <w:rFonts w:ascii="Avenir" w:eastAsia="Avenir" w:hAnsi="Avenir" w:cs="Avenir"/>
                <w:lang w:val="en-GB"/>
              </w:rPr>
            </w:pPr>
            <w:r w:rsidRPr="007E2213">
              <w:rPr>
                <w:rFonts w:ascii="Avenir" w:eastAsia="Avenir" w:hAnsi="Avenir" w:cs="Avenir"/>
                <w:lang w:val="en-GB"/>
              </w:rPr>
              <w:t xml:space="preserve">Existing Electoral Commission categories have been criticized for being broad, outdated and inconsistently applied, creating a need for new categories to be developed—in particular, in relation to new forms of campaigning, whereas traditional forms, such as advertising, press and campaign materials, need more detail. </w:t>
            </w:r>
          </w:p>
          <w:p w14:paraId="67009A03" w14:textId="5583EE50" w:rsidR="00B556DE" w:rsidRPr="007E2213" w:rsidRDefault="000D6BB0" w:rsidP="007E2213">
            <w:pPr>
              <w:pStyle w:val="ListParagraph"/>
              <w:widowControl w:val="0"/>
              <w:numPr>
                <w:ilvl w:val="0"/>
                <w:numId w:val="62"/>
              </w:numPr>
              <w:spacing w:line="240" w:lineRule="auto"/>
              <w:rPr>
                <w:rFonts w:ascii="Avenir" w:eastAsia="Avenir" w:hAnsi="Avenir" w:cs="Avenir"/>
                <w:lang w:val="en-GB"/>
              </w:rPr>
            </w:pPr>
            <w:r w:rsidRPr="007E2213">
              <w:rPr>
                <w:rFonts w:ascii="Avenir" w:eastAsia="Avenir" w:hAnsi="Avenir" w:cs="Avenir"/>
                <w:lang w:val="en-GB"/>
              </w:rPr>
              <w:t xml:space="preserve">By far the most prominent form of spending by parties (accounting for over </w:t>
            </w:r>
            <w:r w:rsidR="009014F3" w:rsidRPr="007E2213">
              <w:rPr>
                <w:rFonts w:ascii="Avenir" w:eastAsia="Avenir" w:hAnsi="Avenir" w:cs="Avenir"/>
                <w:lang w:val="en-GB"/>
              </w:rPr>
              <w:t>GBP </w:t>
            </w:r>
            <w:r w:rsidRPr="007E2213">
              <w:rPr>
                <w:rFonts w:ascii="Avenir" w:eastAsia="Avenir" w:hAnsi="Avenir" w:cs="Avenir"/>
                <w:lang w:val="en-GB"/>
              </w:rPr>
              <w:t>21 million) was on campaign materials, principally in the form of printing and delivery of these materials to voters (45 per</w:t>
            </w:r>
            <w:r w:rsidR="007E2213">
              <w:rPr>
                <w:rFonts w:ascii="Avenir" w:eastAsia="Avenir" w:hAnsi="Avenir" w:cs="Avenir"/>
                <w:lang w:val="en-GB"/>
              </w:rPr>
              <w:t xml:space="preserve"> </w:t>
            </w:r>
            <w:r w:rsidRPr="007E2213">
              <w:rPr>
                <w:rFonts w:ascii="Avenir" w:eastAsia="Avenir" w:hAnsi="Avenir" w:cs="Avenir"/>
                <w:lang w:val="en-GB"/>
              </w:rPr>
              <w:t>cent of total election expenditure).</w:t>
            </w:r>
          </w:p>
          <w:p w14:paraId="1D215004" w14:textId="40C0A607" w:rsidR="00B556DE" w:rsidRPr="007E2213" w:rsidRDefault="000D6BB0" w:rsidP="007E2213">
            <w:pPr>
              <w:pStyle w:val="ListParagraph"/>
              <w:widowControl w:val="0"/>
              <w:numPr>
                <w:ilvl w:val="0"/>
                <w:numId w:val="62"/>
              </w:numPr>
              <w:spacing w:line="240" w:lineRule="auto"/>
              <w:rPr>
                <w:rFonts w:ascii="Avenir" w:eastAsia="Avenir" w:hAnsi="Avenir" w:cs="Avenir"/>
                <w:lang w:val="en-GB"/>
              </w:rPr>
            </w:pPr>
            <w:r w:rsidRPr="007E2213">
              <w:rPr>
                <w:rFonts w:ascii="Avenir" w:eastAsia="Avenir" w:hAnsi="Avenir" w:cs="Avenir"/>
                <w:lang w:val="en-GB"/>
              </w:rPr>
              <w:t xml:space="preserve">Advertising was the next most costly type of spending (over </w:t>
            </w:r>
            <w:r w:rsidR="009014F3" w:rsidRPr="007E2213">
              <w:rPr>
                <w:rFonts w:ascii="Avenir" w:eastAsia="Avenir" w:hAnsi="Avenir" w:cs="Avenir"/>
                <w:lang w:val="en-GB"/>
              </w:rPr>
              <w:t>GBP </w:t>
            </w:r>
            <w:r w:rsidRPr="007E2213">
              <w:rPr>
                <w:rFonts w:ascii="Avenir" w:eastAsia="Avenir" w:hAnsi="Avenir" w:cs="Avenir"/>
                <w:lang w:val="en-GB"/>
              </w:rPr>
              <w:t>10 million), 73 per</w:t>
            </w:r>
            <w:r w:rsidR="007E2213">
              <w:rPr>
                <w:rFonts w:ascii="Avenir" w:eastAsia="Avenir" w:hAnsi="Avenir" w:cs="Avenir"/>
                <w:lang w:val="en-GB"/>
              </w:rPr>
              <w:t xml:space="preserve"> </w:t>
            </w:r>
            <w:r w:rsidRPr="007E2213">
              <w:rPr>
                <w:rFonts w:ascii="Avenir" w:eastAsia="Avenir" w:hAnsi="Avenir" w:cs="Avenir"/>
                <w:lang w:val="en-GB"/>
              </w:rPr>
              <w:t>cent of which was online in the form of social media ads or wider digital advertising.</w:t>
            </w:r>
          </w:p>
          <w:p w14:paraId="220764A6" w14:textId="512A06B1" w:rsidR="00B556DE" w:rsidRPr="007E2213" w:rsidRDefault="000D6BB0" w:rsidP="007E2213">
            <w:pPr>
              <w:pStyle w:val="ListParagraph"/>
              <w:widowControl w:val="0"/>
              <w:numPr>
                <w:ilvl w:val="0"/>
                <w:numId w:val="62"/>
              </w:numPr>
              <w:spacing w:line="240" w:lineRule="auto"/>
              <w:rPr>
                <w:rFonts w:ascii="Avenir" w:eastAsia="Avenir" w:hAnsi="Avenir" w:cs="Avenir"/>
                <w:lang w:val="en-GB"/>
              </w:rPr>
            </w:pPr>
            <w:r w:rsidRPr="007E2213">
              <w:rPr>
                <w:rFonts w:ascii="Avenir" w:eastAsia="Avenir" w:hAnsi="Avenir" w:cs="Avenir"/>
                <w:lang w:val="en-GB"/>
              </w:rPr>
              <w:t xml:space="preserve">Over </w:t>
            </w:r>
            <w:r w:rsidR="009014F3" w:rsidRPr="007E2213">
              <w:rPr>
                <w:rFonts w:ascii="Avenir" w:eastAsia="Avenir" w:hAnsi="Avenir" w:cs="Avenir"/>
                <w:lang w:val="en-GB"/>
              </w:rPr>
              <w:t>GBP </w:t>
            </w:r>
            <w:r w:rsidRPr="007E2213">
              <w:rPr>
                <w:rFonts w:ascii="Avenir" w:eastAsia="Avenir" w:hAnsi="Avenir" w:cs="Avenir"/>
                <w:lang w:val="en-GB"/>
              </w:rPr>
              <w:t>6.5 million of spending was provided on invoices which, for some reason, were not clear. This means that nearly 14 per cent of spending coded was obscured in some way.</w:t>
            </w:r>
          </w:p>
          <w:p w14:paraId="10ACFAD1" w14:textId="77777777" w:rsidR="00B556DE" w:rsidRPr="007E2213" w:rsidRDefault="000D6BB0" w:rsidP="007E2213">
            <w:pPr>
              <w:pStyle w:val="ListParagraph"/>
              <w:widowControl w:val="0"/>
              <w:numPr>
                <w:ilvl w:val="0"/>
                <w:numId w:val="62"/>
              </w:numPr>
              <w:spacing w:line="240" w:lineRule="auto"/>
              <w:rPr>
                <w:rFonts w:ascii="Avenir" w:eastAsia="Avenir" w:hAnsi="Avenir" w:cs="Avenir"/>
                <w:lang w:val="en-GB"/>
              </w:rPr>
            </w:pPr>
            <w:r w:rsidRPr="007E2213">
              <w:rPr>
                <w:rFonts w:ascii="Avenir" w:eastAsia="Avenir" w:hAnsi="Avenir" w:cs="Avenir"/>
                <w:lang w:val="en-GB"/>
              </w:rPr>
              <w:t xml:space="preserve">Spend on </w:t>
            </w:r>
            <w:proofErr w:type="gramStart"/>
            <w:r w:rsidRPr="007E2213">
              <w:rPr>
                <w:rFonts w:ascii="Avenir" w:eastAsia="Avenir" w:hAnsi="Avenir" w:cs="Avenir"/>
                <w:lang w:val="en-GB"/>
              </w:rPr>
              <w:t>a number of</w:t>
            </w:r>
            <w:proofErr w:type="gramEnd"/>
            <w:r w:rsidRPr="007E2213">
              <w:rPr>
                <w:rFonts w:ascii="Avenir" w:eastAsia="Avenir" w:hAnsi="Avenir" w:cs="Avenir"/>
                <w:lang w:val="en-GB"/>
              </w:rPr>
              <w:t xml:space="preserve"> types of activity—such as data, technological tools and infrastructure, and various forms of consultancy—are obscured by current Electoral Commission categories. </w:t>
            </w:r>
          </w:p>
          <w:p w14:paraId="571ED47A" w14:textId="77777777" w:rsidR="00B556DE" w:rsidRPr="007E2213" w:rsidRDefault="000D6BB0" w:rsidP="007E2213">
            <w:pPr>
              <w:pStyle w:val="ListParagraph"/>
              <w:widowControl w:val="0"/>
              <w:numPr>
                <w:ilvl w:val="0"/>
                <w:numId w:val="62"/>
              </w:numPr>
              <w:spacing w:line="240" w:lineRule="auto"/>
              <w:rPr>
                <w:rFonts w:ascii="Avenir" w:eastAsia="Avenir" w:hAnsi="Avenir" w:cs="Avenir"/>
                <w:lang w:val="en-GB"/>
              </w:rPr>
            </w:pPr>
            <w:r w:rsidRPr="007E2213">
              <w:rPr>
                <w:rFonts w:ascii="Avenir" w:eastAsia="Avenir" w:hAnsi="Avenir" w:cs="Avenir"/>
                <w:lang w:val="en-GB"/>
              </w:rPr>
              <w:t>Parties are presently unclear which Electoral Commission categories are most suitable for certain types of spending—with activity around production and infrastructure currently coded in many different places.</w:t>
            </w:r>
          </w:p>
        </w:tc>
      </w:tr>
    </w:tbl>
    <w:p w14:paraId="6E319602" w14:textId="77777777" w:rsidR="00B556DE" w:rsidRPr="00171C2D" w:rsidRDefault="00B556DE">
      <w:pPr>
        <w:jc w:val="both"/>
        <w:rPr>
          <w:rFonts w:ascii="Avenir" w:eastAsia="Avenir" w:hAnsi="Avenir" w:cs="Avenir"/>
          <w:lang w:val="en-GB"/>
        </w:rPr>
      </w:pPr>
    </w:p>
    <w:p w14:paraId="7F54B0B3" w14:textId="77777777" w:rsidR="00B556DE" w:rsidRPr="00171C2D" w:rsidRDefault="000D6BB0">
      <w:pPr>
        <w:pStyle w:val="Heading3"/>
        <w:numPr>
          <w:ilvl w:val="1"/>
          <w:numId w:val="59"/>
        </w:numPr>
        <w:rPr>
          <w:color w:val="auto"/>
          <w:lang w:val="en-GB"/>
        </w:rPr>
      </w:pPr>
      <w:r w:rsidRPr="00171C2D">
        <w:rPr>
          <w:color w:val="auto"/>
          <w:lang w:val="en-GB"/>
        </w:rPr>
        <w:t>Which activities did the research team expect to see but are missing in spending returns?</w:t>
      </w:r>
    </w:p>
    <w:p w14:paraId="6F0BCB78" w14:textId="77777777"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The research team’s analysis of the invoices provided to the Electoral Commission offers a range of further insights into the role of suppliers in election campaigns, and yet it also raises questions about what is missing from, or only occasionally present within, these invoices. </w:t>
      </w:r>
    </w:p>
    <w:p w14:paraId="3289B1F5" w14:textId="77777777" w:rsidR="00B556DE" w:rsidRPr="00171C2D" w:rsidRDefault="00B556DE">
      <w:pPr>
        <w:jc w:val="both"/>
        <w:rPr>
          <w:rFonts w:ascii="Avenir" w:eastAsia="Avenir" w:hAnsi="Avenir" w:cs="Avenir"/>
          <w:lang w:val="en-GB"/>
        </w:rPr>
      </w:pPr>
    </w:p>
    <w:p w14:paraId="677CC51D" w14:textId="5D9B3059" w:rsidR="00B556DE" w:rsidRPr="00171C2D" w:rsidRDefault="000D6BB0">
      <w:pPr>
        <w:jc w:val="both"/>
        <w:rPr>
          <w:rFonts w:ascii="Avenir" w:eastAsia="Avenir" w:hAnsi="Avenir" w:cs="Avenir"/>
          <w:lang w:val="en-GB"/>
        </w:rPr>
      </w:pPr>
      <w:r w:rsidRPr="00171C2D">
        <w:rPr>
          <w:rFonts w:ascii="Avenir" w:eastAsia="Avenir" w:hAnsi="Avenir" w:cs="Avenir"/>
          <w:lang w:val="en-GB"/>
        </w:rPr>
        <w:t>Looking first at the new categories that returned only a few entries, it is notable that a raft of online and data-related activit</w:t>
      </w:r>
      <w:r w:rsidR="0053643C" w:rsidRPr="00171C2D">
        <w:rPr>
          <w:rFonts w:ascii="Avenir" w:eastAsia="Avenir" w:hAnsi="Avenir" w:cs="Avenir"/>
          <w:lang w:val="en-GB"/>
        </w:rPr>
        <w:t>ies</w:t>
      </w:r>
      <w:r w:rsidRPr="00171C2D">
        <w:rPr>
          <w:rFonts w:ascii="Avenir" w:eastAsia="Avenir" w:hAnsi="Avenir" w:cs="Avenir"/>
          <w:lang w:val="en-GB"/>
        </w:rPr>
        <w:t xml:space="preserve"> </w:t>
      </w:r>
      <w:r w:rsidR="00053ECE" w:rsidRPr="00171C2D">
        <w:rPr>
          <w:rFonts w:ascii="Avenir" w:eastAsia="Avenir" w:hAnsi="Avenir" w:cs="Avenir"/>
          <w:lang w:val="en-GB"/>
        </w:rPr>
        <w:t>features</w:t>
      </w:r>
      <w:r w:rsidRPr="00171C2D">
        <w:rPr>
          <w:rFonts w:ascii="Avenir" w:eastAsia="Avenir" w:hAnsi="Avenir" w:cs="Avenir"/>
          <w:lang w:val="en-GB"/>
        </w:rPr>
        <w:t xml:space="preserve"> minimally. Only eight suppliers are providing ‘online advertising’ and four provide social media strategy and consultancy. In terms of digital infrastructure, just four providers reported mobile application services, but even in terms of more mundane infrastructure, only six suppliers provided email services and eight website services. Similarly, on data, eight suppliers reported activity on ‘data services and analysis’, two were coded as ‘data consultancy’, while seven worked on ‘campaign database or CRM’ and four conducted ‘message testing’. </w:t>
      </w:r>
    </w:p>
    <w:p w14:paraId="38A2E3D2" w14:textId="77777777" w:rsidR="00B556DE" w:rsidRPr="00171C2D" w:rsidRDefault="00B556DE">
      <w:pPr>
        <w:jc w:val="both"/>
        <w:rPr>
          <w:rFonts w:ascii="Avenir" w:eastAsia="Avenir" w:hAnsi="Avenir" w:cs="Avenir"/>
          <w:lang w:val="en-GB"/>
        </w:rPr>
      </w:pPr>
    </w:p>
    <w:p w14:paraId="5C0AB38C" w14:textId="488642CE"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In many cases, these </w:t>
      </w:r>
      <w:r w:rsidR="009637B9" w:rsidRPr="00171C2D">
        <w:rPr>
          <w:rFonts w:ascii="Avenir" w:eastAsia="Avenir" w:hAnsi="Avenir" w:cs="Avenir"/>
          <w:lang w:val="en-GB"/>
        </w:rPr>
        <w:t>suppliers</w:t>
      </w:r>
      <w:r w:rsidRPr="00171C2D">
        <w:rPr>
          <w:rFonts w:ascii="Avenir" w:eastAsia="Avenir" w:hAnsi="Avenir" w:cs="Avenir"/>
          <w:lang w:val="en-GB"/>
        </w:rPr>
        <w:t xml:space="preserve">—despite being </w:t>
      </w:r>
      <w:proofErr w:type="gramStart"/>
      <w:r w:rsidRPr="00171C2D">
        <w:rPr>
          <w:rFonts w:ascii="Avenir" w:eastAsia="Avenir" w:hAnsi="Avenir" w:cs="Avenir"/>
          <w:lang w:val="en-GB"/>
        </w:rPr>
        <w:t>small in number</w:t>
      </w:r>
      <w:proofErr w:type="gramEnd"/>
      <w:r w:rsidRPr="00171C2D">
        <w:rPr>
          <w:rFonts w:ascii="Avenir" w:eastAsia="Avenir" w:hAnsi="Avenir" w:cs="Avenir"/>
          <w:lang w:val="en-GB"/>
        </w:rPr>
        <w:t xml:space="preserve">—were receiving significant amounts of </w:t>
      </w:r>
      <w:r w:rsidR="0053643C" w:rsidRPr="00171C2D">
        <w:rPr>
          <w:rFonts w:ascii="Avenir" w:eastAsia="Avenir" w:hAnsi="Avenir" w:cs="Avenir"/>
          <w:lang w:val="en-GB"/>
        </w:rPr>
        <w:t>money</w:t>
      </w:r>
      <w:r w:rsidRPr="00171C2D">
        <w:rPr>
          <w:rFonts w:ascii="Avenir" w:eastAsia="Avenir" w:hAnsi="Avenir" w:cs="Avenir"/>
          <w:lang w:val="en-GB"/>
        </w:rPr>
        <w:t xml:space="preserve">. </w:t>
      </w:r>
      <w:proofErr w:type="gramStart"/>
      <w:r w:rsidRPr="00171C2D">
        <w:rPr>
          <w:rFonts w:ascii="Avenir" w:eastAsia="Avenir" w:hAnsi="Avenir" w:cs="Avenir"/>
          <w:lang w:val="en-GB"/>
        </w:rPr>
        <w:t>In particular, in</w:t>
      </w:r>
      <w:proofErr w:type="gramEnd"/>
      <w:r w:rsidRPr="00171C2D">
        <w:rPr>
          <w:rFonts w:ascii="Avenir" w:eastAsia="Avenir" w:hAnsi="Avenir" w:cs="Avenir"/>
          <w:lang w:val="en-GB"/>
        </w:rPr>
        <w:t xml:space="preserve"> terms of online advertising, only eight suppliers accounted for </w:t>
      </w:r>
      <w:r w:rsidR="009014F3">
        <w:rPr>
          <w:rFonts w:ascii="Avenir" w:eastAsia="Avenir" w:hAnsi="Avenir" w:cs="Avenir"/>
          <w:lang w:val="en-GB"/>
        </w:rPr>
        <w:t>GBP </w:t>
      </w:r>
      <w:r w:rsidRPr="00171C2D">
        <w:rPr>
          <w:rFonts w:ascii="Avenir" w:eastAsia="Avenir" w:hAnsi="Avenir" w:cs="Avenir"/>
          <w:lang w:val="en-GB"/>
        </w:rPr>
        <w:t xml:space="preserve">1,861,117 of spending (largely due to Google). Similarly, while only four suppliers provided mobile application services and two suppliers were data consultants, the spend was high, at </w:t>
      </w:r>
      <w:r w:rsidR="009014F3">
        <w:rPr>
          <w:rFonts w:ascii="Avenir" w:eastAsia="Avenir" w:hAnsi="Avenir" w:cs="Avenir"/>
          <w:lang w:val="en-GB"/>
        </w:rPr>
        <w:lastRenderedPageBreak/>
        <w:t>GBP </w:t>
      </w:r>
      <w:r w:rsidRPr="00171C2D">
        <w:rPr>
          <w:rFonts w:ascii="Avenir" w:eastAsia="Avenir" w:hAnsi="Avenir" w:cs="Avenir"/>
          <w:lang w:val="en-GB"/>
        </w:rPr>
        <w:t xml:space="preserve">77,379 and </w:t>
      </w:r>
      <w:r w:rsidR="009014F3">
        <w:rPr>
          <w:rFonts w:ascii="Avenir" w:eastAsia="Avenir" w:hAnsi="Avenir" w:cs="Avenir"/>
          <w:lang w:val="en-GB"/>
        </w:rPr>
        <w:t>GBP </w:t>
      </w:r>
      <w:r w:rsidRPr="00171C2D">
        <w:rPr>
          <w:rFonts w:ascii="Avenir" w:eastAsia="Avenir" w:hAnsi="Avenir" w:cs="Avenir"/>
          <w:lang w:val="en-GB"/>
        </w:rPr>
        <w:t xml:space="preserve">137,460 respectively. However, the four consultants providing specific social media strategy advice amounted to just </w:t>
      </w:r>
      <w:r w:rsidR="009014F3">
        <w:rPr>
          <w:rFonts w:ascii="Avenir" w:eastAsia="Avenir" w:hAnsi="Avenir" w:cs="Avenir"/>
          <w:lang w:val="en-GB"/>
        </w:rPr>
        <w:t>GBP </w:t>
      </w:r>
      <w:r w:rsidRPr="00171C2D">
        <w:rPr>
          <w:rFonts w:ascii="Avenir" w:eastAsia="Avenir" w:hAnsi="Avenir" w:cs="Avenir"/>
          <w:lang w:val="en-GB"/>
        </w:rPr>
        <w:t xml:space="preserve">9,533. </w:t>
      </w:r>
      <w:r w:rsidR="0053643C" w:rsidRPr="00171C2D">
        <w:rPr>
          <w:rFonts w:ascii="Avenir" w:eastAsia="Avenir" w:hAnsi="Avenir" w:cs="Avenir"/>
          <w:lang w:val="en-GB"/>
        </w:rPr>
        <w:t>A</w:t>
      </w:r>
      <w:r w:rsidRPr="00171C2D">
        <w:rPr>
          <w:rFonts w:ascii="Avenir" w:eastAsia="Avenir" w:hAnsi="Avenir" w:cs="Avenir"/>
          <w:lang w:val="en-GB"/>
        </w:rPr>
        <w:t xml:space="preserve"> small number of suppliers does not necessarily equate to a small overall spend, and particularly when it comes to data-driven and digital services, only a few suppliers are performing these activities during elections. </w:t>
      </w:r>
    </w:p>
    <w:p w14:paraId="2196EDE8" w14:textId="77777777" w:rsidR="00B556DE" w:rsidRPr="00171C2D" w:rsidRDefault="00B556DE">
      <w:pPr>
        <w:jc w:val="both"/>
        <w:rPr>
          <w:rFonts w:ascii="Avenir" w:eastAsia="Avenir" w:hAnsi="Avenir" w:cs="Avenir"/>
          <w:lang w:val="en-GB"/>
        </w:rPr>
      </w:pPr>
    </w:p>
    <w:p w14:paraId="3631B446" w14:textId="3179B934" w:rsidR="00B556DE" w:rsidRPr="00171C2D" w:rsidRDefault="000D6BB0">
      <w:pPr>
        <w:jc w:val="both"/>
        <w:rPr>
          <w:rFonts w:ascii="Avenir" w:eastAsia="Avenir" w:hAnsi="Avenir" w:cs="Avenir"/>
          <w:b/>
          <w:lang w:val="en-GB"/>
        </w:rPr>
      </w:pPr>
      <w:r w:rsidRPr="00171C2D">
        <w:rPr>
          <w:rFonts w:ascii="Avenir" w:eastAsia="Avenir" w:hAnsi="Avenir" w:cs="Avenir"/>
          <w:bCs/>
          <w:lang w:val="en-GB"/>
        </w:rPr>
        <w:t xml:space="preserve">The research team </w:t>
      </w:r>
      <w:r w:rsidRPr="00171C2D">
        <w:rPr>
          <w:rFonts w:ascii="Avenir" w:eastAsia="Avenir" w:hAnsi="Avenir" w:cs="Avenir"/>
          <w:lang w:val="en-GB"/>
        </w:rPr>
        <w:t xml:space="preserve">also expected to find certain types of campaigning activity that were not referred to in invoices. In terms of digital activity, for example, </w:t>
      </w:r>
      <w:r w:rsidR="0053643C" w:rsidRPr="00171C2D">
        <w:rPr>
          <w:rFonts w:ascii="Avenir" w:eastAsia="Avenir" w:hAnsi="Avenir" w:cs="Avenir"/>
          <w:lang w:val="en-GB"/>
        </w:rPr>
        <w:t>there was little</w:t>
      </w:r>
      <w:r w:rsidRPr="00171C2D">
        <w:rPr>
          <w:rFonts w:ascii="Avenir" w:eastAsia="Avenir" w:hAnsi="Avenir" w:cs="Avenir"/>
          <w:lang w:val="en-GB"/>
        </w:rPr>
        <w:t xml:space="preserve"> evidence of search engine optimization or social/digital listening. They also didn’t find specific suppliers working discreetly on activities such as data management, list building or voter file matching—leading them to create the catch-all category of data services and analysis, which contained just six entries. The lack of suppliers working in this area is particularly striking given the significant attention that has been paid to this kind of work in recent academic and popular commentary. This raises questions about the degree to which parties are paying external suppliers to conduct data and analytics work and why suppliers and researchers are giving so much attention to this type of work (a question this report returns to below).</w:t>
      </w:r>
    </w:p>
    <w:p w14:paraId="2BDDB6D9" w14:textId="77777777" w:rsidR="00B556DE" w:rsidRPr="00171C2D" w:rsidRDefault="00B556DE">
      <w:pPr>
        <w:jc w:val="both"/>
        <w:rPr>
          <w:rFonts w:ascii="Avenir" w:eastAsia="Avenir" w:hAnsi="Avenir" w:cs="Avenir"/>
          <w:lang w:val="en-GB"/>
        </w:rPr>
      </w:pPr>
    </w:p>
    <w:p w14:paraId="73BC7F5E" w14:textId="77777777"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Beyond the digital realm, it is also notable that activity around mobilization is conspicuously absent. While the research team found </w:t>
      </w:r>
      <w:proofErr w:type="gramStart"/>
      <w:r w:rsidRPr="00171C2D">
        <w:rPr>
          <w:rFonts w:ascii="Avenir" w:eastAsia="Avenir" w:hAnsi="Avenir" w:cs="Avenir"/>
          <w:lang w:val="en-GB"/>
        </w:rPr>
        <w:t>a large number of</w:t>
      </w:r>
      <w:proofErr w:type="gramEnd"/>
      <w:r w:rsidRPr="00171C2D">
        <w:rPr>
          <w:rFonts w:ascii="Avenir" w:eastAsia="Avenir" w:hAnsi="Avenir" w:cs="Avenir"/>
          <w:lang w:val="en-GB"/>
        </w:rPr>
        <w:t xml:space="preserve"> suppliers being paid to deliver leaflets, relatively few worked on canvassing or fundraising activity. One possible explanation for these absences is that these invoices relate to spending only incurred during the election period. Some activities—such as voter mobilization or registration, for example—may occur outside the election period. Similarly, campaigners may invest funds in building and maintaining databases prior to the election period, meaning that such activity is not apparent in returns. </w:t>
      </w:r>
    </w:p>
    <w:p w14:paraId="216F1F81" w14:textId="77777777" w:rsidR="00B556DE" w:rsidRPr="00171C2D" w:rsidRDefault="00B556DE">
      <w:pPr>
        <w:jc w:val="both"/>
        <w:rPr>
          <w:rFonts w:ascii="Avenir" w:eastAsia="Avenir" w:hAnsi="Avenir" w:cs="Avenir"/>
          <w:lang w:val="en-GB"/>
        </w:rPr>
      </w:pPr>
    </w:p>
    <w:p w14:paraId="0C4BB948" w14:textId="77777777" w:rsidR="00B556DE" w:rsidRPr="00171C2D" w:rsidRDefault="000D6BB0">
      <w:pPr>
        <w:jc w:val="both"/>
        <w:rPr>
          <w:rFonts w:ascii="Avenir" w:eastAsia="Avenir" w:hAnsi="Avenir" w:cs="Avenir"/>
          <w:highlight w:val="white"/>
          <w:lang w:val="en-GB"/>
        </w:rPr>
      </w:pPr>
      <w:r w:rsidRPr="00171C2D">
        <w:rPr>
          <w:rFonts w:ascii="Avenir" w:eastAsia="Avenir" w:hAnsi="Avenir" w:cs="Avenir"/>
          <w:highlight w:val="white"/>
          <w:lang w:val="en-GB"/>
        </w:rPr>
        <w:t>Considerations for CSOs include:</w:t>
      </w:r>
    </w:p>
    <w:p w14:paraId="500FA957" w14:textId="77777777" w:rsidR="00B556DE" w:rsidRPr="00171C2D" w:rsidRDefault="000D6BB0">
      <w:pPr>
        <w:numPr>
          <w:ilvl w:val="0"/>
          <w:numId w:val="46"/>
        </w:numPr>
        <w:jc w:val="both"/>
        <w:rPr>
          <w:rFonts w:ascii="Avenir" w:eastAsia="Avenir" w:hAnsi="Avenir" w:cs="Avenir"/>
          <w:highlight w:val="white"/>
          <w:lang w:val="en-GB"/>
        </w:rPr>
      </w:pPr>
      <w:r w:rsidRPr="00171C2D">
        <w:rPr>
          <w:rFonts w:ascii="Avenir" w:eastAsia="Avenir" w:hAnsi="Avenir" w:cs="Avenir"/>
          <w:lang w:val="en-GB"/>
        </w:rPr>
        <w:t>When</w:t>
      </w:r>
      <w:r w:rsidRPr="00171C2D">
        <w:rPr>
          <w:rFonts w:ascii="Avenir" w:eastAsia="Avenir" w:hAnsi="Avenir" w:cs="Avenir"/>
          <w:highlight w:val="white"/>
          <w:lang w:val="en-GB"/>
        </w:rPr>
        <w:t xml:space="preserve"> conducting work to increase transparency and accountability of political parties, extend the </w:t>
      </w:r>
      <w:proofErr w:type="gramStart"/>
      <w:r w:rsidRPr="00171C2D">
        <w:rPr>
          <w:rFonts w:ascii="Avenir" w:eastAsia="Avenir" w:hAnsi="Avenir" w:cs="Avenir"/>
          <w:highlight w:val="white"/>
          <w:lang w:val="en-GB"/>
        </w:rPr>
        <w:t>time period</w:t>
      </w:r>
      <w:proofErr w:type="gramEnd"/>
      <w:r w:rsidRPr="00171C2D">
        <w:rPr>
          <w:rFonts w:ascii="Avenir" w:eastAsia="Avenir" w:hAnsi="Avenir" w:cs="Avenir"/>
          <w:highlight w:val="white"/>
          <w:lang w:val="en-GB"/>
        </w:rPr>
        <w:t xml:space="preserve"> in which CSOs’ research takes place, to consider the substantial work of campaigns and suppliers outside election periods.</w:t>
      </w:r>
      <w:bookmarkStart w:id="12" w:name="_Hlk98171119"/>
      <w:bookmarkEnd w:id="12"/>
    </w:p>
    <w:p w14:paraId="67E60E94" w14:textId="77777777" w:rsidR="00B556DE" w:rsidRPr="00171C2D" w:rsidRDefault="00B556DE">
      <w:pPr>
        <w:jc w:val="both"/>
        <w:rPr>
          <w:rFonts w:ascii="Avenir" w:eastAsia="Avenir" w:hAnsi="Avenir" w:cs="Avenir"/>
          <w:lang w:val="en-GB"/>
        </w:rPr>
      </w:pPr>
    </w:p>
    <w:tbl>
      <w:tblPr>
        <w:tblW w:w="9360" w:type="dxa"/>
        <w:tblCellMar>
          <w:top w:w="100" w:type="dxa"/>
          <w:left w:w="100" w:type="dxa"/>
          <w:bottom w:w="100" w:type="dxa"/>
          <w:right w:w="100" w:type="dxa"/>
        </w:tblCellMar>
        <w:tblLook w:val="0600" w:firstRow="0" w:lastRow="0" w:firstColumn="0" w:lastColumn="0" w:noHBand="1" w:noVBand="1"/>
      </w:tblPr>
      <w:tblGrid>
        <w:gridCol w:w="9360"/>
      </w:tblGrid>
      <w:tr w:rsidR="00B556DE" w:rsidRPr="00171C2D" w14:paraId="069C0711" w14:textId="77777777">
        <w:tc>
          <w:tcPr>
            <w:tcW w:w="9360" w:type="dxa"/>
            <w:tcBorders>
              <w:top w:val="single" w:sz="8" w:space="0" w:color="000000"/>
              <w:left w:val="single" w:sz="8" w:space="0" w:color="000000"/>
              <w:bottom w:val="single" w:sz="8" w:space="0" w:color="000000"/>
              <w:right w:val="single" w:sz="8" w:space="0" w:color="000000"/>
            </w:tcBorders>
            <w:shd w:val="clear" w:color="auto" w:fill="auto"/>
          </w:tcPr>
          <w:p w14:paraId="4FCC1DA0" w14:textId="77777777" w:rsidR="00B556DE" w:rsidRPr="007E2213" w:rsidRDefault="000D6BB0">
            <w:pPr>
              <w:widowControl w:val="0"/>
              <w:spacing w:line="240" w:lineRule="auto"/>
              <w:rPr>
                <w:rFonts w:ascii="Avenir" w:eastAsia="Avenir" w:hAnsi="Avenir" w:cs="Avenir"/>
                <w:b/>
                <w:bCs/>
                <w:lang w:val="en-GB"/>
              </w:rPr>
            </w:pPr>
            <w:r w:rsidRPr="00953F5D">
              <w:rPr>
                <w:rFonts w:ascii="Avenir" w:eastAsia="Avenir" w:hAnsi="Avenir" w:cs="Avenir"/>
                <w:b/>
                <w:bCs/>
                <w:lang w:val="en-GB"/>
              </w:rPr>
              <w:t>Section summary</w:t>
            </w:r>
          </w:p>
          <w:p w14:paraId="64996F9F" w14:textId="77777777" w:rsidR="00B556DE" w:rsidRPr="00171C2D" w:rsidRDefault="00B556DE">
            <w:pPr>
              <w:widowControl w:val="0"/>
              <w:spacing w:line="240" w:lineRule="auto"/>
              <w:rPr>
                <w:rFonts w:ascii="Avenir" w:eastAsia="Avenir" w:hAnsi="Avenir" w:cs="Avenir"/>
                <w:lang w:val="en-GB"/>
              </w:rPr>
            </w:pPr>
          </w:p>
          <w:p w14:paraId="6D5C0133" w14:textId="45B02631" w:rsidR="00B556DE" w:rsidRPr="00171C2D" w:rsidRDefault="000D6BB0" w:rsidP="007E2213">
            <w:pPr>
              <w:widowControl w:val="0"/>
              <w:numPr>
                <w:ilvl w:val="0"/>
                <w:numId w:val="63"/>
              </w:numPr>
              <w:spacing w:line="240" w:lineRule="auto"/>
              <w:rPr>
                <w:rFonts w:ascii="Avenir" w:eastAsia="Avenir" w:hAnsi="Avenir" w:cs="Avenir"/>
                <w:lang w:val="en-GB"/>
              </w:rPr>
            </w:pPr>
            <w:r w:rsidRPr="00171C2D">
              <w:rPr>
                <w:rFonts w:ascii="Avenir" w:eastAsia="Avenir" w:hAnsi="Avenir" w:cs="Avenir"/>
                <w:lang w:val="en-GB"/>
              </w:rPr>
              <w:t xml:space="preserve">The analysis identified several categories that contained very few suppliers. This was occasionally true even when the levels of spend were significant; for example, </w:t>
            </w:r>
            <w:r w:rsidR="009014F3">
              <w:rPr>
                <w:rFonts w:ascii="Avenir" w:eastAsia="Avenir" w:hAnsi="Avenir" w:cs="Avenir"/>
                <w:lang w:val="en-GB"/>
              </w:rPr>
              <w:t>GBP </w:t>
            </w:r>
            <w:r w:rsidRPr="00171C2D">
              <w:rPr>
                <w:rFonts w:ascii="Avenir" w:eastAsia="Avenir" w:hAnsi="Avenir" w:cs="Avenir"/>
                <w:lang w:val="en-GB"/>
              </w:rPr>
              <w:t>1.86 million was spent on online advertising between only eight suppliers.</w:t>
            </w:r>
          </w:p>
          <w:p w14:paraId="7DA6E494" w14:textId="77777777" w:rsidR="00B556DE" w:rsidRPr="00171C2D" w:rsidRDefault="000D6BB0" w:rsidP="007E2213">
            <w:pPr>
              <w:widowControl w:val="0"/>
              <w:numPr>
                <w:ilvl w:val="0"/>
                <w:numId w:val="63"/>
              </w:numPr>
              <w:spacing w:line="240" w:lineRule="auto"/>
              <w:rPr>
                <w:rFonts w:ascii="Avenir" w:eastAsia="Avenir" w:hAnsi="Avenir" w:cs="Avenir"/>
                <w:lang w:val="en-GB"/>
              </w:rPr>
            </w:pPr>
            <w:r w:rsidRPr="00171C2D">
              <w:rPr>
                <w:rFonts w:ascii="Avenir" w:eastAsia="Avenir" w:hAnsi="Avenir" w:cs="Avenir"/>
                <w:lang w:val="en-GB"/>
              </w:rPr>
              <w:t xml:space="preserve">The research team also found that many services they had expected to see were either not reported in invoices, or featured only sparingly, specifically in relation to digital and data services. </w:t>
            </w:r>
          </w:p>
        </w:tc>
      </w:tr>
    </w:tbl>
    <w:p w14:paraId="2AC7D00C" w14:textId="77777777" w:rsidR="00B556DE" w:rsidRPr="00171C2D" w:rsidRDefault="00B556DE">
      <w:pPr>
        <w:jc w:val="both"/>
        <w:rPr>
          <w:rFonts w:ascii="Avenir" w:eastAsia="Avenir" w:hAnsi="Avenir" w:cs="Avenir"/>
          <w:lang w:val="en-GB"/>
        </w:rPr>
      </w:pPr>
    </w:p>
    <w:p w14:paraId="4A590907" w14:textId="77777777" w:rsidR="00C10CA9" w:rsidRDefault="00C10CA9" w:rsidP="00C10CA9">
      <w:pPr>
        <w:pStyle w:val="Heading2"/>
        <w:numPr>
          <w:ilvl w:val="0"/>
          <w:numId w:val="0"/>
        </w:numPr>
        <w:rPr>
          <w:lang w:val="en-GB"/>
        </w:rPr>
      </w:pPr>
      <w:r>
        <w:rPr>
          <w:lang w:val="en-GB"/>
        </w:rPr>
        <w:lastRenderedPageBreak/>
        <w:t>Chapter 5</w:t>
      </w:r>
    </w:p>
    <w:p w14:paraId="4E853107" w14:textId="76CDA5A8" w:rsidR="00B556DE" w:rsidRPr="00171C2D" w:rsidRDefault="000D6BB0" w:rsidP="00C10CA9">
      <w:pPr>
        <w:pStyle w:val="Heading2"/>
        <w:numPr>
          <w:ilvl w:val="0"/>
          <w:numId w:val="0"/>
        </w:numPr>
        <w:rPr>
          <w:lang w:val="en-GB"/>
        </w:rPr>
      </w:pPr>
      <w:r w:rsidRPr="00171C2D">
        <w:rPr>
          <w:lang w:val="en-GB"/>
        </w:rPr>
        <w:t>What can additional transparency reveal about company activities?</w:t>
      </w:r>
    </w:p>
    <w:p w14:paraId="66B6BD1F" w14:textId="0798CDB3"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While the research team’s coding offers </w:t>
      </w:r>
      <w:r w:rsidR="00053ECE" w:rsidRPr="00171C2D">
        <w:rPr>
          <w:rFonts w:ascii="Avenir" w:eastAsia="Avenir" w:hAnsi="Avenir" w:cs="Avenir"/>
          <w:lang w:val="en-GB"/>
        </w:rPr>
        <w:t>several</w:t>
      </w:r>
      <w:r w:rsidRPr="00171C2D">
        <w:rPr>
          <w:rFonts w:ascii="Avenir" w:eastAsia="Avenir" w:hAnsi="Avenir" w:cs="Avenir"/>
          <w:lang w:val="en-GB"/>
        </w:rPr>
        <w:t xml:space="preserve"> insights into what is and isn’t contained within the invoices, there remain </w:t>
      </w:r>
      <w:r w:rsidR="00053ECE" w:rsidRPr="00171C2D">
        <w:rPr>
          <w:rFonts w:ascii="Avenir" w:eastAsia="Avenir" w:hAnsi="Avenir" w:cs="Avenir"/>
          <w:lang w:val="en-GB"/>
        </w:rPr>
        <w:t>many</w:t>
      </w:r>
      <w:r w:rsidRPr="00171C2D">
        <w:rPr>
          <w:rFonts w:ascii="Avenir" w:eastAsia="Avenir" w:hAnsi="Avenir" w:cs="Avenir"/>
          <w:lang w:val="en-GB"/>
        </w:rPr>
        <w:t xml:space="preserve"> further questions that it is not possible to answer with the existing information disclosed to the Electoral Commission. </w:t>
      </w:r>
    </w:p>
    <w:p w14:paraId="0B823777" w14:textId="77777777" w:rsidR="00B556DE" w:rsidRPr="00171C2D" w:rsidRDefault="00B556DE">
      <w:pPr>
        <w:jc w:val="both"/>
        <w:rPr>
          <w:rFonts w:ascii="Avenir" w:eastAsia="Avenir" w:hAnsi="Avenir" w:cs="Avenir"/>
          <w:lang w:val="en-GB"/>
        </w:rPr>
      </w:pPr>
    </w:p>
    <w:p w14:paraId="1D96849C" w14:textId="65C743BD"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Primarily, a question emerges about the extent to which parties are only conducting activities that appear in the Electoral Commission categories or this project’s coding of invoice descriptions. In particular, the research team was keen to further explore whether the lack of apparent activity </w:t>
      </w:r>
      <w:proofErr w:type="gramStart"/>
      <w:r w:rsidRPr="00171C2D">
        <w:rPr>
          <w:rFonts w:ascii="Avenir" w:eastAsia="Avenir" w:hAnsi="Avenir" w:cs="Avenir"/>
          <w:lang w:val="en-GB"/>
        </w:rPr>
        <w:t>in the area of</w:t>
      </w:r>
      <w:proofErr w:type="gramEnd"/>
      <w:r w:rsidRPr="00171C2D">
        <w:rPr>
          <w:rFonts w:ascii="Avenir" w:eastAsia="Avenir" w:hAnsi="Avenir" w:cs="Avenir"/>
          <w:lang w:val="en-GB"/>
        </w:rPr>
        <w:t xml:space="preserve"> data and digital technology was </w:t>
      </w:r>
      <w:r w:rsidR="00053ECE" w:rsidRPr="00171C2D">
        <w:rPr>
          <w:rFonts w:ascii="Avenir" w:eastAsia="Avenir" w:hAnsi="Avenir" w:cs="Avenir"/>
          <w:lang w:val="en-GB"/>
        </w:rPr>
        <w:t>accurate or</w:t>
      </w:r>
      <w:r w:rsidRPr="00171C2D">
        <w:rPr>
          <w:rFonts w:ascii="Avenir" w:eastAsia="Avenir" w:hAnsi="Avenir" w:cs="Avenir"/>
          <w:lang w:val="en-GB"/>
        </w:rPr>
        <w:t xml:space="preserve"> reflected ambiguities in the available data. </w:t>
      </w:r>
    </w:p>
    <w:p w14:paraId="326A06E0" w14:textId="77777777" w:rsidR="00B556DE" w:rsidRPr="00171C2D" w:rsidRDefault="00B556DE">
      <w:pPr>
        <w:jc w:val="both"/>
        <w:rPr>
          <w:rFonts w:ascii="Avenir" w:eastAsia="Avenir" w:hAnsi="Avenir" w:cs="Avenir"/>
          <w:lang w:val="en-GB"/>
        </w:rPr>
      </w:pPr>
    </w:p>
    <w:p w14:paraId="28968DAD" w14:textId="0E1C7BC6"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To consider this possibility, the research team drew on other sources of information to investigate whether certain companies were potentially delivering services not captured by either the Electoral Commission categories or by the descriptions given on invoices. Specifically, the team investigated </w:t>
      </w:r>
      <w:proofErr w:type="gramStart"/>
      <w:r w:rsidRPr="00171C2D">
        <w:rPr>
          <w:rFonts w:ascii="Avenir" w:eastAsia="Avenir" w:hAnsi="Avenir" w:cs="Avenir"/>
          <w:lang w:val="en-GB"/>
        </w:rPr>
        <w:t>a number of</w:t>
      </w:r>
      <w:proofErr w:type="gramEnd"/>
      <w:r w:rsidRPr="00171C2D">
        <w:rPr>
          <w:rFonts w:ascii="Avenir" w:eastAsia="Avenir" w:hAnsi="Avenir" w:cs="Avenir"/>
          <w:lang w:val="en-GB"/>
        </w:rPr>
        <w:t xml:space="preserve"> suppliers who received a high spend, where there was limited detail on the kind of activities that they were conducting. This involved searching for other publicly available information about these suppliers, looking at records in Companies House, at their websites, and at news stories related to their origins and electoral activity. Specifically, the research team looked at seven companies in Table 12. This report does not name the specific companies </w:t>
      </w:r>
      <w:r w:rsidR="00053ECE" w:rsidRPr="00171C2D">
        <w:rPr>
          <w:rFonts w:ascii="Avenir" w:eastAsia="Avenir" w:hAnsi="Avenir" w:cs="Avenir"/>
          <w:lang w:val="en-GB"/>
        </w:rPr>
        <w:t>examined but</w:t>
      </w:r>
      <w:r w:rsidRPr="00171C2D">
        <w:rPr>
          <w:rFonts w:ascii="Avenir" w:eastAsia="Avenir" w:hAnsi="Avenir" w:cs="Avenir"/>
          <w:lang w:val="en-GB"/>
        </w:rPr>
        <w:t xml:space="preserve"> offers them as indicative examples to consider what is absent from existing transparency returns. </w:t>
      </w:r>
    </w:p>
    <w:p w14:paraId="32C5F892" w14:textId="77777777" w:rsidR="00B556DE" w:rsidRPr="00171C2D" w:rsidRDefault="00B556DE">
      <w:pPr>
        <w:jc w:val="both"/>
        <w:rPr>
          <w:rFonts w:ascii="Avenir" w:eastAsia="Avenir" w:hAnsi="Avenir" w:cs="Avenir"/>
          <w:lang w:val="en-GB"/>
        </w:rPr>
      </w:pPr>
    </w:p>
    <w:p w14:paraId="6FDDC0E5" w14:textId="34193083" w:rsidR="00B556DE" w:rsidRPr="00171C2D" w:rsidRDefault="000D6BB0">
      <w:pPr>
        <w:jc w:val="both"/>
        <w:rPr>
          <w:rFonts w:ascii="Avenir" w:eastAsia="Avenir" w:hAnsi="Avenir" w:cs="Avenir"/>
          <w:b/>
          <w:bCs/>
          <w:iCs/>
          <w:lang w:val="en-GB"/>
        </w:rPr>
      </w:pPr>
      <w:r w:rsidRPr="00171C2D">
        <w:rPr>
          <w:rFonts w:ascii="Avenir" w:eastAsia="Avenir" w:hAnsi="Avenir" w:cs="Avenir"/>
          <w:b/>
          <w:bCs/>
          <w:iCs/>
          <w:lang w:val="en-GB"/>
        </w:rPr>
        <w:t>Table 12: Suppliers commanding significant spend but whose invoices were unclear about services</w:t>
      </w:r>
    </w:p>
    <w:tbl>
      <w:tblPr>
        <w:tblW w:w="9360" w:type="dxa"/>
        <w:tblCellMar>
          <w:top w:w="100" w:type="dxa"/>
          <w:left w:w="100" w:type="dxa"/>
          <w:bottom w:w="100" w:type="dxa"/>
          <w:right w:w="100" w:type="dxa"/>
        </w:tblCellMar>
        <w:tblLook w:val="0600" w:firstRow="0" w:lastRow="0" w:firstColumn="0" w:lastColumn="0" w:noHBand="1" w:noVBand="1"/>
      </w:tblPr>
      <w:tblGrid>
        <w:gridCol w:w="2820"/>
        <w:gridCol w:w="1726"/>
        <w:gridCol w:w="2644"/>
        <w:gridCol w:w="2170"/>
      </w:tblGrid>
      <w:tr w:rsidR="00171C2D" w:rsidRPr="00171C2D" w14:paraId="713D522A" w14:textId="77777777" w:rsidTr="00C10CA9">
        <w:tc>
          <w:tcPr>
            <w:tcW w:w="2819" w:type="dxa"/>
            <w:tcBorders>
              <w:top w:val="single" w:sz="8" w:space="0" w:color="000000"/>
              <w:left w:val="single" w:sz="8" w:space="0" w:color="000000"/>
              <w:bottom w:val="single" w:sz="8" w:space="0" w:color="000000"/>
              <w:right w:val="single" w:sz="8" w:space="0" w:color="000000"/>
            </w:tcBorders>
            <w:shd w:val="clear" w:color="auto" w:fill="auto"/>
          </w:tcPr>
          <w:p w14:paraId="293DF273" w14:textId="77777777" w:rsidR="00B556DE" w:rsidRPr="00171C2D" w:rsidRDefault="00B556DE">
            <w:pPr>
              <w:widowControl w:val="0"/>
              <w:spacing w:line="240" w:lineRule="auto"/>
              <w:rPr>
                <w:rFonts w:ascii="Avenir" w:eastAsia="Avenir" w:hAnsi="Avenir" w:cs="Avenir"/>
                <w:b/>
                <w:bCs/>
                <w:lang w:val="en-GB"/>
              </w:rPr>
            </w:pPr>
          </w:p>
        </w:tc>
        <w:tc>
          <w:tcPr>
            <w:tcW w:w="1726" w:type="dxa"/>
            <w:tcBorders>
              <w:top w:val="single" w:sz="8" w:space="0" w:color="000000"/>
              <w:left w:val="single" w:sz="8" w:space="0" w:color="000000"/>
              <w:bottom w:val="single" w:sz="8" w:space="0" w:color="000000"/>
              <w:right w:val="single" w:sz="8" w:space="0" w:color="000000"/>
            </w:tcBorders>
            <w:shd w:val="clear" w:color="auto" w:fill="auto"/>
          </w:tcPr>
          <w:p w14:paraId="488AF6ED" w14:textId="77777777" w:rsidR="00B556DE" w:rsidRPr="00171C2D" w:rsidRDefault="000D6BB0">
            <w:pPr>
              <w:widowControl w:val="0"/>
              <w:spacing w:line="240" w:lineRule="auto"/>
              <w:rPr>
                <w:rFonts w:ascii="Avenir" w:eastAsia="Avenir" w:hAnsi="Avenir" w:cs="Avenir"/>
                <w:b/>
                <w:bCs/>
                <w:lang w:val="en-GB"/>
              </w:rPr>
            </w:pPr>
            <w:r w:rsidRPr="00171C2D">
              <w:rPr>
                <w:rFonts w:ascii="Avenir" w:eastAsia="Avenir" w:hAnsi="Avenir" w:cs="Avenir"/>
                <w:b/>
                <w:bCs/>
                <w:lang w:val="en-GB"/>
              </w:rPr>
              <w:t>Spending</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14:paraId="162FB113" w14:textId="77777777" w:rsidR="00B556DE" w:rsidRPr="00171C2D" w:rsidRDefault="000D6BB0">
            <w:pPr>
              <w:widowControl w:val="0"/>
              <w:spacing w:line="240" w:lineRule="auto"/>
              <w:rPr>
                <w:rFonts w:ascii="Avenir" w:eastAsia="Avenir" w:hAnsi="Avenir" w:cs="Avenir"/>
                <w:b/>
                <w:bCs/>
                <w:lang w:val="en-GB"/>
              </w:rPr>
            </w:pPr>
            <w:r w:rsidRPr="00171C2D">
              <w:rPr>
                <w:rFonts w:ascii="Avenir" w:eastAsia="Avenir" w:hAnsi="Avenir" w:cs="Avenir"/>
                <w:b/>
                <w:bCs/>
                <w:lang w:val="en-GB"/>
              </w:rPr>
              <w:t>Electoral Commission category</w:t>
            </w:r>
          </w:p>
        </w:tc>
        <w:tc>
          <w:tcPr>
            <w:tcW w:w="2170" w:type="dxa"/>
            <w:tcBorders>
              <w:top w:val="single" w:sz="8" w:space="0" w:color="000000"/>
              <w:left w:val="single" w:sz="8" w:space="0" w:color="000000"/>
              <w:bottom w:val="single" w:sz="8" w:space="0" w:color="000000"/>
              <w:right w:val="single" w:sz="8" w:space="0" w:color="000000"/>
            </w:tcBorders>
            <w:shd w:val="clear" w:color="auto" w:fill="auto"/>
          </w:tcPr>
          <w:p w14:paraId="3EA8EA9D" w14:textId="77777777" w:rsidR="00B556DE" w:rsidRPr="00171C2D" w:rsidRDefault="000D6BB0">
            <w:pPr>
              <w:widowControl w:val="0"/>
              <w:spacing w:line="240" w:lineRule="auto"/>
              <w:rPr>
                <w:rFonts w:ascii="Avenir" w:eastAsia="Avenir" w:hAnsi="Avenir" w:cs="Avenir"/>
                <w:b/>
                <w:bCs/>
                <w:lang w:val="en-GB"/>
              </w:rPr>
            </w:pPr>
            <w:r w:rsidRPr="00171C2D">
              <w:rPr>
                <w:rFonts w:ascii="Avenir" w:eastAsia="Avenir" w:hAnsi="Avenir" w:cs="Avenir"/>
                <w:b/>
                <w:bCs/>
                <w:lang w:val="en-GB"/>
              </w:rPr>
              <w:t>New category/</w:t>
            </w:r>
            <w:proofErr w:type="spellStart"/>
            <w:r w:rsidRPr="00171C2D">
              <w:rPr>
                <w:rFonts w:ascii="Avenir" w:eastAsia="Avenir" w:hAnsi="Avenir" w:cs="Avenir"/>
                <w:b/>
                <w:bCs/>
                <w:lang w:val="en-GB"/>
              </w:rPr>
              <w:t>ies</w:t>
            </w:r>
            <w:proofErr w:type="spellEnd"/>
          </w:p>
        </w:tc>
      </w:tr>
      <w:tr w:rsidR="00171C2D" w:rsidRPr="00171C2D" w14:paraId="26D05135" w14:textId="77777777" w:rsidTr="00C10CA9">
        <w:trPr>
          <w:trHeight w:val="420"/>
        </w:trPr>
        <w:tc>
          <w:tcPr>
            <w:tcW w:w="9359" w:type="dxa"/>
            <w:gridSpan w:val="4"/>
            <w:tcBorders>
              <w:top w:val="single" w:sz="8" w:space="0" w:color="000000"/>
              <w:left w:val="single" w:sz="8" w:space="0" w:color="000000"/>
              <w:bottom w:val="single" w:sz="8" w:space="0" w:color="000000"/>
              <w:right w:val="single" w:sz="8" w:space="0" w:color="000000"/>
            </w:tcBorders>
            <w:shd w:val="clear" w:color="auto" w:fill="auto"/>
          </w:tcPr>
          <w:p w14:paraId="5885F9E3" w14:textId="77777777" w:rsidR="00B556DE" w:rsidRPr="00171C2D" w:rsidRDefault="000D6BB0">
            <w:pPr>
              <w:widowControl w:val="0"/>
              <w:spacing w:line="240" w:lineRule="auto"/>
              <w:rPr>
                <w:rFonts w:ascii="Avenir" w:eastAsia="Avenir" w:hAnsi="Avenir" w:cs="Avenir"/>
                <w:b/>
                <w:lang w:val="en-GB"/>
              </w:rPr>
            </w:pPr>
            <w:r w:rsidRPr="00171C2D">
              <w:rPr>
                <w:rFonts w:ascii="Avenir" w:eastAsia="Avenir" w:hAnsi="Avenir" w:cs="Avenir"/>
                <w:b/>
                <w:lang w:val="en-GB"/>
              </w:rPr>
              <w:t xml:space="preserve">Conservative Party suppliers </w:t>
            </w:r>
          </w:p>
        </w:tc>
      </w:tr>
      <w:tr w:rsidR="00171C2D" w:rsidRPr="00171C2D" w14:paraId="4B3B0AD6" w14:textId="77777777" w:rsidTr="00C10CA9">
        <w:tc>
          <w:tcPr>
            <w:tcW w:w="2819" w:type="dxa"/>
            <w:tcBorders>
              <w:top w:val="single" w:sz="8" w:space="0" w:color="000000"/>
              <w:left w:val="single" w:sz="8" w:space="0" w:color="000000"/>
              <w:bottom w:val="single" w:sz="8" w:space="0" w:color="000000"/>
              <w:right w:val="single" w:sz="8" w:space="0" w:color="000000"/>
            </w:tcBorders>
            <w:shd w:val="clear" w:color="auto" w:fill="auto"/>
          </w:tcPr>
          <w:p w14:paraId="20C82CA2" w14:textId="77777777" w:rsidR="00B556DE" w:rsidRPr="00171C2D" w:rsidRDefault="000D6BB0">
            <w:pPr>
              <w:widowControl w:val="0"/>
              <w:spacing w:line="240" w:lineRule="auto"/>
              <w:rPr>
                <w:rFonts w:ascii="Avenir" w:eastAsia="Avenir" w:hAnsi="Avenir" w:cs="Avenir"/>
                <w:lang w:val="en-GB"/>
              </w:rPr>
            </w:pPr>
            <w:r w:rsidRPr="00171C2D">
              <w:rPr>
                <w:rFonts w:ascii="Avenir" w:eastAsia="Avenir" w:hAnsi="Avenir" w:cs="Avenir"/>
                <w:lang w:val="en-GB"/>
              </w:rPr>
              <w:t>Supplier 1</w:t>
            </w:r>
          </w:p>
        </w:tc>
        <w:tc>
          <w:tcPr>
            <w:tcW w:w="1726" w:type="dxa"/>
            <w:tcBorders>
              <w:top w:val="single" w:sz="8" w:space="0" w:color="000000"/>
              <w:left w:val="single" w:sz="8" w:space="0" w:color="000000"/>
              <w:bottom w:val="single" w:sz="8" w:space="0" w:color="000000"/>
              <w:right w:val="single" w:sz="8" w:space="0" w:color="000000"/>
            </w:tcBorders>
            <w:shd w:val="clear" w:color="auto" w:fill="auto"/>
          </w:tcPr>
          <w:p w14:paraId="3A64F62E" w14:textId="0E6D84A2" w:rsidR="00B556DE" w:rsidRPr="00171C2D" w:rsidRDefault="009014F3" w:rsidP="001E53AD">
            <w:pPr>
              <w:widowControl w:val="0"/>
              <w:spacing w:line="240" w:lineRule="auto"/>
              <w:jc w:val="right"/>
              <w:rPr>
                <w:rFonts w:ascii="Avenir" w:eastAsia="Avenir" w:hAnsi="Avenir" w:cs="Avenir"/>
                <w:lang w:val="en-GB"/>
              </w:rPr>
            </w:pPr>
            <w:r>
              <w:rPr>
                <w:rFonts w:ascii="Avenir" w:eastAsia="Avenir" w:hAnsi="Avenir" w:cs="Avenir"/>
                <w:lang w:val="en-GB"/>
              </w:rPr>
              <w:t>GBP </w:t>
            </w:r>
            <w:r w:rsidR="000D6BB0" w:rsidRPr="00171C2D">
              <w:rPr>
                <w:rFonts w:ascii="Avenir" w:eastAsia="Avenir" w:hAnsi="Avenir" w:cs="Avenir"/>
                <w:lang w:val="en-GB"/>
              </w:rPr>
              <w:t>1,689,000</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14:paraId="4E450672" w14:textId="77777777" w:rsidR="00B556DE" w:rsidRPr="00171C2D" w:rsidRDefault="000D6BB0">
            <w:pPr>
              <w:widowControl w:val="0"/>
              <w:spacing w:line="240" w:lineRule="auto"/>
              <w:jc w:val="center"/>
              <w:rPr>
                <w:rFonts w:ascii="Avenir" w:eastAsia="Avenir" w:hAnsi="Avenir" w:cs="Avenir"/>
                <w:lang w:val="en-GB"/>
              </w:rPr>
            </w:pPr>
            <w:r w:rsidRPr="00171C2D">
              <w:rPr>
                <w:rFonts w:ascii="Avenir" w:eastAsia="Avenir" w:hAnsi="Avenir" w:cs="Avenir"/>
                <w:lang w:val="en-GB"/>
              </w:rPr>
              <w:t>Market research/canvassing</w:t>
            </w:r>
          </w:p>
        </w:tc>
        <w:tc>
          <w:tcPr>
            <w:tcW w:w="2170" w:type="dxa"/>
            <w:tcBorders>
              <w:top w:val="single" w:sz="8" w:space="0" w:color="000000"/>
              <w:left w:val="single" w:sz="8" w:space="0" w:color="000000"/>
              <w:bottom w:val="single" w:sz="8" w:space="0" w:color="000000"/>
              <w:right w:val="single" w:sz="8" w:space="0" w:color="000000"/>
            </w:tcBorders>
            <w:shd w:val="clear" w:color="auto" w:fill="auto"/>
          </w:tcPr>
          <w:p w14:paraId="4915250C" w14:textId="4566D9F8" w:rsidR="00B556DE" w:rsidRPr="00171C2D" w:rsidRDefault="000D6BB0">
            <w:pPr>
              <w:widowControl w:val="0"/>
              <w:spacing w:line="240" w:lineRule="auto"/>
              <w:jc w:val="center"/>
              <w:rPr>
                <w:rFonts w:ascii="Avenir" w:eastAsia="Avenir" w:hAnsi="Avenir" w:cs="Avenir"/>
                <w:lang w:val="en-GB"/>
              </w:rPr>
            </w:pPr>
            <w:r w:rsidRPr="00171C2D">
              <w:rPr>
                <w:rFonts w:ascii="Avenir" w:eastAsia="Avenir" w:hAnsi="Avenir" w:cs="Avenir"/>
                <w:lang w:val="en-GB"/>
              </w:rPr>
              <w:t xml:space="preserve">Research; Polling </w:t>
            </w:r>
          </w:p>
        </w:tc>
      </w:tr>
      <w:tr w:rsidR="00171C2D" w:rsidRPr="00171C2D" w14:paraId="75DAC3A7" w14:textId="77777777" w:rsidTr="00C10CA9">
        <w:tc>
          <w:tcPr>
            <w:tcW w:w="2819" w:type="dxa"/>
            <w:tcBorders>
              <w:top w:val="single" w:sz="8" w:space="0" w:color="000000"/>
              <w:left w:val="single" w:sz="8" w:space="0" w:color="000000"/>
              <w:bottom w:val="single" w:sz="8" w:space="0" w:color="000000"/>
              <w:right w:val="single" w:sz="8" w:space="0" w:color="000000"/>
            </w:tcBorders>
            <w:shd w:val="clear" w:color="auto" w:fill="auto"/>
          </w:tcPr>
          <w:p w14:paraId="331B868A" w14:textId="77777777" w:rsidR="00B556DE" w:rsidRPr="00171C2D" w:rsidRDefault="000D6BB0">
            <w:pPr>
              <w:widowControl w:val="0"/>
              <w:spacing w:line="240" w:lineRule="auto"/>
              <w:rPr>
                <w:rFonts w:ascii="Avenir" w:eastAsia="Avenir" w:hAnsi="Avenir" w:cs="Avenir"/>
                <w:lang w:val="en-GB"/>
              </w:rPr>
            </w:pPr>
            <w:r w:rsidRPr="00171C2D">
              <w:rPr>
                <w:rFonts w:ascii="Avenir" w:eastAsia="Avenir" w:hAnsi="Avenir" w:cs="Avenir"/>
                <w:lang w:val="en-GB"/>
              </w:rPr>
              <w:t>Supplier 2</w:t>
            </w:r>
          </w:p>
        </w:tc>
        <w:tc>
          <w:tcPr>
            <w:tcW w:w="1726" w:type="dxa"/>
            <w:tcBorders>
              <w:top w:val="single" w:sz="8" w:space="0" w:color="000000"/>
              <w:left w:val="single" w:sz="8" w:space="0" w:color="000000"/>
              <w:bottom w:val="single" w:sz="8" w:space="0" w:color="000000"/>
              <w:right w:val="single" w:sz="8" w:space="0" w:color="000000"/>
            </w:tcBorders>
            <w:shd w:val="clear" w:color="auto" w:fill="auto"/>
          </w:tcPr>
          <w:p w14:paraId="42052AF5" w14:textId="1EF81F7C" w:rsidR="00B556DE" w:rsidRPr="00171C2D" w:rsidRDefault="009014F3" w:rsidP="001E53AD">
            <w:pPr>
              <w:widowControl w:val="0"/>
              <w:spacing w:line="240" w:lineRule="auto"/>
              <w:jc w:val="right"/>
              <w:rPr>
                <w:rFonts w:ascii="Avenir" w:eastAsia="Avenir" w:hAnsi="Avenir" w:cs="Avenir"/>
                <w:lang w:val="en-GB"/>
              </w:rPr>
            </w:pPr>
            <w:r>
              <w:rPr>
                <w:rFonts w:ascii="Avenir" w:eastAsia="Avenir" w:hAnsi="Avenir" w:cs="Avenir"/>
                <w:lang w:val="en-GB"/>
              </w:rPr>
              <w:t>GBP </w:t>
            </w:r>
            <w:r w:rsidR="000D6BB0" w:rsidRPr="00171C2D">
              <w:rPr>
                <w:rFonts w:ascii="Avenir" w:eastAsia="Avenir" w:hAnsi="Avenir" w:cs="Avenir"/>
                <w:lang w:val="en-GB"/>
              </w:rPr>
              <w:t>708,000</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14:paraId="5B4DD623" w14:textId="77777777" w:rsidR="00B556DE" w:rsidRPr="00171C2D" w:rsidRDefault="000D6BB0">
            <w:pPr>
              <w:widowControl w:val="0"/>
              <w:spacing w:line="240" w:lineRule="auto"/>
              <w:jc w:val="center"/>
              <w:rPr>
                <w:rFonts w:ascii="Avenir" w:eastAsia="Avenir" w:hAnsi="Avenir" w:cs="Avenir"/>
                <w:lang w:val="en-GB"/>
              </w:rPr>
            </w:pPr>
            <w:r w:rsidRPr="00171C2D">
              <w:rPr>
                <w:rFonts w:ascii="Avenir" w:eastAsia="Avenir" w:hAnsi="Avenir" w:cs="Avenir"/>
                <w:lang w:val="en-GB"/>
              </w:rPr>
              <w:t>Market research/canvassing</w:t>
            </w:r>
          </w:p>
        </w:tc>
        <w:tc>
          <w:tcPr>
            <w:tcW w:w="2170" w:type="dxa"/>
            <w:tcBorders>
              <w:top w:val="single" w:sz="8" w:space="0" w:color="000000"/>
              <w:left w:val="single" w:sz="8" w:space="0" w:color="000000"/>
              <w:bottom w:val="single" w:sz="8" w:space="0" w:color="000000"/>
              <w:right w:val="single" w:sz="8" w:space="0" w:color="000000"/>
            </w:tcBorders>
            <w:shd w:val="clear" w:color="auto" w:fill="auto"/>
          </w:tcPr>
          <w:p w14:paraId="541CF473" w14:textId="77777777" w:rsidR="00B556DE" w:rsidRPr="00171C2D" w:rsidRDefault="000D6BB0">
            <w:pPr>
              <w:widowControl w:val="0"/>
              <w:spacing w:line="240" w:lineRule="auto"/>
              <w:jc w:val="center"/>
              <w:rPr>
                <w:rFonts w:ascii="Avenir" w:eastAsia="Avenir" w:hAnsi="Avenir" w:cs="Avenir"/>
                <w:lang w:val="en-GB"/>
              </w:rPr>
            </w:pPr>
            <w:r w:rsidRPr="00171C2D">
              <w:rPr>
                <w:rFonts w:ascii="Avenir" w:eastAsia="Avenir" w:hAnsi="Avenir" w:cs="Avenir"/>
                <w:lang w:val="en-GB"/>
              </w:rPr>
              <w:t>Completely unclear</w:t>
            </w:r>
          </w:p>
        </w:tc>
      </w:tr>
      <w:tr w:rsidR="00171C2D" w:rsidRPr="00171C2D" w14:paraId="4614D9BE" w14:textId="77777777" w:rsidTr="00C10CA9">
        <w:tc>
          <w:tcPr>
            <w:tcW w:w="2819" w:type="dxa"/>
            <w:tcBorders>
              <w:top w:val="single" w:sz="8" w:space="0" w:color="000000"/>
              <w:left w:val="single" w:sz="8" w:space="0" w:color="000000"/>
              <w:bottom w:val="single" w:sz="8" w:space="0" w:color="000000"/>
              <w:right w:val="single" w:sz="8" w:space="0" w:color="000000"/>
            </w:tcBorders>
            <w:shd w:val="clear" w:color="auto" w:fill="auto"/>
          </w:tcPr>
          <w:p w14:paraId="6490E2BD" w14:textId="77777777" w:rsidR="00B556DE" w:rsidRPr="00171C2D" w:rsidRDefault="000D6BB0">
            <w:pPr>
              <w:widowControl w:val="0"/>
              <w:spacing w:line="240" w:lineRule="auto"/>
              <w:rPr>
                <w:rFonts w:ascii="Avenir" w:eastAsia="Avenir" w:hAnsi="Avenir" w:cs="Avenir"/>
                <w:lang w:val="en-GB"/>
              </w:rPr>
            </w:pPr>
            <w:r w:rsidRPr="00171C2D">
              <w:rPr>
                <w:rFonts w:ascii="Avenir" w:eastAsia="Avenir" w:hAnsi="Avenir" w:cs="Avenir"/>
                <w:lang w:val="en-GB"/>
              </w:rPr>
              <w:t>Supplier 3</w:t>
            </w:r>
          </w:p>
        </w:tc>
        <w:tc>
          <w:tcPr>
            <w:tcW w:w="1726" w:type="dxa"/>
            <w:tcBorders>
              <w:top w:val="single" w:sz="8" w:space="0" w:color="000000"/>
              <w:left w:val="single" w:sz="8" w:space="0" w:color="000000"/>
              <w:bottom w:val="single" w:sz="8" w:space="0" w:color="000000"/>
              <w:right w:val="single" w:sz="8" w:space="0" w:color="000000"/>
            </w:tcBorders>
            <w:shd w:val="clear" w:color="auto" w:fill="auto"/>
          </w:tcPr>
          <w:p w14:paraId="25575D48" w14:textId="3B3D6137" w:rsidR="00B556DE" w:rsidRPr="00171C2D" w:rsidRDefault="009014F3" w:rsidP="001E53AD">
            <w:pPr>
              <w:widowControl w:val="0"/>
              <w:spacing w:line="240" w:lineRule="auto"/>
              <w:jc w:val="right"/>
              <w:rPr>
                <w:rFonts w:ascii="Avenir" w:eastAsia="Avenir" w:hAnsi="Avenir" w:cs="Avenir"/>
                <w:lang w:val="en-GB"/>
              </w:rPr>
            </w:pPr>
            <w:r>
              <w:rPr>
                <w:rFonts w:ascii="Avenir" w:eastAsia="Avenir" w:hAnsi="Avenir" w:cs="Avenir"/>
                <w:lang w:val="en-GB"/>
              </w:rPr>
              <w:t>GBP </w:t>
            </w:r>
            <w:r w:rsidR="000D6BB0" w:rsidRPr="00171C2D">
              <w:rPr>
                <w:rFonts w:ascii="Avenir" w:eastAsia="Avenir" w:hAnsi="Avenir" w:cs="Avenir"/>
                <w:lang w:val="en-GB"/>
              </w:rPr>
              <w:t>418,400</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14:paraId="23A246DC" w14:textId="77777777" w:rsidR="00B556DE" w:rsidRPr="00171C2D" w:rsidRDefault="000D6BB0">
            <w:pPr>
              <w:widowControl w:val="0"/>
              <w:spacing w:line="240" w:lineRule="auto"/>
              <w:jc w:val="center"/>
              <w:rPr>
                <w:rFonts w:ascii="Avenir" w:eastAsia="Avenir" w:hAnsi="Avenir" w:cs="Avenir"/>
                <w:lang w:val="en-GB"/>
              </w:rPr>
            </w:pPr>
            <w:r w:rsidRPr="00171C2D">
              <w:rPr>
                <w:rFonts w:ascii="Avenir" w:eastAsia="Avenir" w:hAnsi="Avenir" w:cs="Avenir"/>
                <w:lang w:val="en-GB"/>
              </w:rPr>
              <w:t>Advertising</w:t>
            </w:r>
          </w:p>
        </w:tc>
        <w:tc>
          <w:tcPr>
            <w:tcW w:w="2170" w:type="dxa"/>
            <w:tcBorders>
              <w:top w:val="single" w:sz="8" w:space="0" w:color="000000"/>
              <w:left w:val="single" w:sz="8" w:space="0" w:color="000000"/>
              <w:bottom w:val="single" w:sz="8" w:space="0" w:color="000000"/>
              <w:right w:val="single" w:sz="8" w:space="0" w:color="000000"/>
            </w:tcBorders>
            <w:shd w:val="clear" w:color="auto" w:fill="auto"/>
          </w:tcPr>
          <w:p w14:paraId="23852623" w14:textId="77777777" w:rsidR="00B556DE" w:rsidRPr="00171C2D" w:rsidRDefault="000D6BB0">
            <w:pPr>
              <w:widowControl w:val="0"/>
              <w:spacing w:line="240" w:lineRule="auto"/>
              <w:jc w:val="center"/>
              <w:rPr>
                <w:rFonts w:ascii="Avenir" w:eastAsia="Avenir" w:hAnsi="Avenir" w:cs="Avenir"/>
                <w:lang w:val="en-GB"/>
              </w:rPr>
            </w:pPr>
            <w:r w:rsidRPr="00171C2D">
              <w:rPr>
                <w:rFonts w:ascii="Avenir" w:eastAsia="Avenir" w:hAnsi="Avenir" w:cs="Avenir"/>
                <w:lang w:val="en-GB"/>
              </w:rPr>
              <w:t xml:space="preserve">Completely unclear </w:t>
            </w:r>
          </w:p>
        </w:tc>
      </w:tr>
      <w:tr w:rsidR="00171C2D" w:rsidRPr="00171C2D" w14:paraId="7E3DDD55" w14:textId="77777777" w:rsidTr="00C10CA9">
        <w:tc>
          <w:tcPr>
            <w:tcW w:w="2819" w:type="dxa"/>
            <w:tcBorders>
              <w:top w:val="single" w:sz="8" w:space="0" w:color="000000"/>
              <w:left w:val="single" w:sz="8" w:space="0" w:color="000000"/>
              <w:bottom w:val="single" w:sz="8" w:space="0" w:color="000000"/>
              <w:right w:val="single" w:sz="8" w:space="0" w:color="000000"/>
            </w:tcBorders>
            <w:shd w:val="clear" w:color="auto" w:fill="auto"/>
          </w:tcPr>
          <w:p w14:paraId="28F21D60" w14:textId="77777777" w:rsidR="00B556DE" w:rsidRPr="00171C2D" w:rsidRDefault="000D6BB0">
            <w:pPr>
              <w:widowControl w:val="0"/>
              <w:spacing w:line="240" w:lineRule="auto"/>
              <w:rPr>
                <w:rFonts w:ascii="Avenir" w:eastAsia="Avenir" w:hAnsi="Avenir" w:cs="Avenir"/>
                <w:lang w:val="en-GB"/>
              </w:rPr>
            </w:pPr>
            <w:r w:rsidRPr="00171C2D">
              <w:rPr>
                <w:rFonts w:ascii="Avenir" w:eastAsia="Avenir" w:hAnsi="Avenir" w:cs="Avenir"/>
                <w:lang w:val="en-GB"/>
              </w:rPr>
              <w:t>Supplier 4</w:t>
            </w:r>
          </w:p>
        </w:tc>
        <w:tc>
          <w:tcPr>
            <w:tcW w:w="1726" w:type="dxa"/>
            <w:tcBorders>
              <w:top w:val="single" w:sz="8" w:space="0" w:color="000000"/>
              <w:left w:val="single" w:sz="8" w:space="0" w:color="000000"/>
              <w:bottom w:val="single" w:sz="8" w:space="0" w:color="000000"/>
              <w:right w:val="single" w:sz="8" w:space="0" w:color="000000"/>
            </w:tcBorders>
            <w:shd w:val="clear" w:color="auto" w:fill="auto"/>
          </w:tcPr>
          <w:p w14:paraId="6B5DAD0F" w14:textId="4378ABB5" w:rsidR="00B556DE" w:rsidRPr="00171C2D" w:rsidRDefault="009014F3" w:rsidP="001E53AD">
            <w:pPr>
              <w:widowControl w:val="0"/>
              <w:spacing w:line="240" w:lineRule="auto"/>
              <w:jc w:val="right"/>
              <w:rPr>
                <w:rFonts w:ascii="Avenir" w:eastAsia="Avenir" w:hAnsi="Avenir" w:cs="Avenir"/>
                <w:lang w:val="en-GB"/>
              </w:rPr>
            </w:pPr>
            <w:r>
              <w:rPr>
                <w:rFonts w:ascii="Avenir" w:eastAsia="Avenir" w:hAnsi="Avenir" w:cs="Avenir"/>
                <w:lang w:val="en-GB"/>
              </w:rPr>
              <w:t>GBP </w:t>
            </w:r>
            <w:r w:rsidR="000D6BB0" w:rsidRPr="00171C2D">
              <w:rPr>
                <w:rFonts w:ascii="Avenir" w:eastAsia="Avenir" w:hAnsi="Avenir" w:cs="Avenir"/>
                <w:lang w:val="en-GB"/>
              </w:rPr>
              <w:t>139,800</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14:paraId="03C519B4" w14:textId="77777777" w:rsidR="00B556DE" w:rsidRPr="00171C2D" w:rsidRDefault="000D6BB0">
            <w:pPr>
              <w:widowControl w:val="0"/>
              <w:spacing w:line="240" w:lineRule="auto"/>
              <w:jc w:val="center"/>
              <w:rPr>
                <w:rFonts w:ascii="Avenir" w:eastAsia="Avenir" w:hAnsi="Avenir" w:cs="Avenir"/>
                <w:lang w:val="en-GB"/>
              </w:rPr>
            </w:pPr>
            <w:r w:rsidRPr="00171C2D">
              <w:rPr>
                <w:rFonts w:ascii="Avenir" w:eastAsia="Avenir" w:hAnsi="Avenir" w:cs="Avenir"/>
                <w:lang w:val="en-GB"/>
              </w:rPr>
              <w:t>Overheads and general administration</w:t>
            </w:r>
          </w:p>
        </w:tc>
        <w:tc>
          <w:tcPr>
            <w:tcW w:w="2170" w:type="dxa"/>
            <w:tcBorders>
              <w:top w:val="single" w:sz="8" w:space="0" w:color="000000"/>
              <w:left w:val="single" w:sz="8" w:space="0" w:color="000000"/>
              <w:bottom w:val="single" w:sz="8" w:space="0" w:color="000000"/>
              <w:right w:val="single" w:sz="8" w:space="0" w:color="000000"/>
            </w:tcBorders>
            <w:shd w:val="clear" w:color="auto" w:fill="auto"/>
          </w:tcPr>
          <w:p w14:paraId="3B77CE9B" w14:textId="15C4EAC5" w:rsidR="00B556DE" w:rsidRPr="00171C2D" w:rsidRDefault="000D6BB0">
            <w:pPr>
              <w:spacing w:line="240" w:lineRule="auto"/>
              <w:jc w:val="center"/>
              <w:rPr>
                <w:rFonts w:ascii="Avenir" w:eastAsia="Avenir" w:hAnsi="Avenir" w:cs="Avenir"/>
                <w:lang w:val="en-GB"/>
              </w:rPr>
            </w:pPr>
            <w:r w:rsidRPr="00171C2D">
              <w:rPr>
                <w:rFonts w:ascii="Avenir" w:eastAsia="Avenir" w:hAnsi="Avenir" w:cs="Avenir"/>
                <w:lang w:val="en-GB"/>
              </w:rPr>
              <w:t>Consultancy; Research</w:t>
            </w:r>
          </w:p>
        </w:tc>
      </w:tr>
      <w:tr w:rsidR="00171C2D" w:rsidRPr="00171C2D" w14:paraId="71A0B77B" w14:textId="77777777" w:rsidTr="00C10CA9">
        <w:trPr>
          <w:trHeight w:val="420"/>
        </w:trPr>
        <w:tc>
          <w:tcPr>
            <w:tcW w:w="9359" w:type="dxa"/>
            <w:gridSpan w:val="4"/>
            <w:tcBorders>
              <w:top w:val="single" w:sz="8" w:space="0" w:color="000000"/>
              <w:left w:val="single" w:sz="8" w:space="0" w:color="000000"/>
              <w:bottom w:val="single" w:sz="8" w:space="0" w:color="000000"/>
              <w:right w:val="single" w:sz="8" w:space="0" w:color="000000"/>
            </w:tcBorders>
            <w:shd w:val="clear" w:color="auto" w:fill="auto"/>
          </w:tcPr>
          <w:p w14:paraId="2660FB98" w14:textId="77777777" w:rsidR="00B556DE" w:rsidRPr="00171C2D" w:rsidRDefault="000D6BB0">
            <w:pPr>
              <w:widowControl w:val="0"/>
              <w:spacing w:line="240" w:lineRule="auto"/>
              <w:rPr>
                <w:rFonts w:ascii="Avenir" w:eastAsia="Avenir" w:hAnsi="Avenir" w:cs="Avenir"/>
                <w:b/>
                <w:lang w:val="en-GB"/>
              </w:rPr>
            </w:pPr>
            <w:r w:rsidRPr="00171C2D">
              <w:rPr>
                <w:rFonts w:ascii="Avenir" w:eastAsia="Avenir" w:hAnsi="Avenir" w:cs="Avenir"/>
                <w:b/>
                <w:lang w:val="en-GB"/>
              </w:rPr>
              <w:t xml:space="preserve">Labour Party suppliers </w:t>
            </w:r>
          </w:p>
        </w:tc>
      </w:tr>
      <w:tr w:rsidR="00171C2D" w:rsidRPr="00171C2D" w14:paraId="24CC94FD" w14:textId="77777777" w:rsidTr="00C10CA9">
        <w:tc>
          <w:tcPr>
            <w:tcW w:w="2819" w:type="dxa"/>
            <w:tcBorders>
              <w:top w:val="single" w:sz="8" w:space="0" w:color="000000"/>
              <w:left w:val="single" w:sz="8" w:space="0" w:color="000000"/>
              <w:bottom w:val="single" w:sz="8" w:space="0" w:color="000000"/>
              <w:right w:val="single" w:sz="8" w:space="0" w:color="000000"/>
            </w:tcBorders>
            <w:shd w:val="clear" w:color="auto" w:fill="auto"/>
          </w:tcPr>
          <w:p w14:paraId="3DABCB8A" w14:textId="77777777" w:rsidR="00B556DE" w:rsidRPr="00171C2D" w:rsidRDefault="000D6BB0">
            <w:pPr>
              <w:widowControl w:val="0"/>
              <w:spacing w:line="240" w:lineRule="auto"/>
              <w:rPr>
                <w:rFonts w:ascii="Avenir" w:eastAsia="Avenir" w:hAnsi="Avenir" w:cs="Avenir"/>
                <w:lang w:val="en-GB"/>
              </w:rPr>
            </w:pPr>
            <w:r w:rsidRPr="00171C2D">
              <w:rPr>
                <w:rFonts w:ascii="Avenir" w:eastAsia="Avenir" w:hAnsi="Avenir" w:cs="Avenir"/>
                <w:lang w:val="en-GB"/>
              </w:rPr>
              <w:lastRenderedPageBreak/>
              <w:t>Supplier 5</w:t>
            </w:r>
          </w:p>
        </w:tc>
        <w:tc>
          <w:tcPr>
            <w:tcW w:w="1726" w:type="dxa"/>
            <w:tcBorders>
              <w:top w:val="single" w:sz="8" w:space="0" w:color="000000"/>
              <w:left w:val="single" w:sz="8" w:space="0" w:color="000000"/>
              <w:bottom w:val="single" w:sz="8" w:space="0" w:color="000000"/>
              <w:right w:val="single" w:sz="8" w:space="0" w:color="000000"/>
            </w:tcBorders>
            <w:shd w:val="clear" w:color="auto" w:fill="auto"/>
          </w:tcPr>
          <w:p w14:paraId="02AC4FAB" w14:textId="0ADBE512" w:rsidR="00B556DE" w:rsidRPr="00171C2D" w:rsidRDefault="009014F3" w:rsidP="001E53AD">
            <w:pPr>
              <w:spacing w:line="240" w:lineRule="auto"/>
              <w:jc w:val="right"/>
              <w:rPr>
                <w:rFonts w:ascii="Avenir" w:eastAsia="Avenir" w:hAnsi="Avenir" w:cs="Avenir"/>
                <w:lang w:val="en-GB"/>
              </w:rPr>
            </w:pPr>
            <w:r>
              <w:rPr>
                <w:rFonts w:ascii="Avenir" w:eastAsia="Avenir" w:hAnsi="Avenir" w:cs="Avenir"/>
                <w:lang w:val="en-GB"/>
              </w:rPr>
              <w:t>GBP </w:t>
            </w:r>
            <w:r w:rsidR="000D6BB0" w:rsidRPr="00171C2D">
              <w:rPr>
                <w:rFonts w:ascii="Avenir" w:eastAsia="Avenir" w:hAnsi="Avenir" w:cs="Avenir"/>
                <w:lang w:val="en-GB"/>
              </w:rPr>
              <w:t>575,000</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14:paraId="27790121" w14:textId="77777777" w:rsidR="00B556DE" w:rsidRPr="00171C2D" w:rsidRDefault="000D6BB0">
            <w:pPr>
              <w:widowControl w:val="0"/>
              <w:spacing w:line="240" w:lineRule="auto"/>
              <w:jc w:val="center"/>
              <w:rPr>
                <w:rFonts w:ascii="Avenir" w:eastAsia="Avenir" w:hAnsi="Avenir" w:cs="Avenir"/>
                <w:lang w:val="en-GB"/>
              </w:rPr>
            </w:pPr>
            <w:r w:rsidRPr="00171C2D">
              <w:rPr>
                <w:rFonts w:ascii="Avenir" w:eastAsia="Avenir" w:hAnsi="Avenir" w:cs="Avenir"/>
                <w:lang w:val="en-GB"/>
              </w:rPr>
              <w:t xml:space="preserve">Advertising </w:t>
            </w:r>
          </w:p>
        </w:tc>
        <w:tc>
          <w:tcPr>
            <w:tcW w:w="2170" w:type="dxa"/>
            <w:tcBorders>
              <w:top w:val="single" w:sz="8" w:space="0" w:color="000000"/>
              <w:left w:val="single" w:sz="8" w:space="0" w:color="000000"/>
              <w:bottom w:val="single" w:sz="8" w:space="0" w:color="000000"/>
              <w:right w:val="single" w:sz="8" w:space="0" w:color="000000"/>
            </w:tcBorders>
            <w:shd w:val="clear" w:color="auto" w:fill="auto"/>
          </w:tcPr>
          <w:p w14:paraId="682D16B2" w14:textId="77777777" w:rsidR="00B556DE" w:rsidRPr="00171C2D" w:rsidRDefault="000D6BB0">
            <w:pPr>
              <w:spacing w:line="240" w:lineRule="auto"/>
              <w:jc w:val="center"/>
              <w:rPr>
                <w:rFonts w:ascii="Avenir" w:eastAsia="Avenir" w:hAnsi="Avenir" w:cs="Avenir"/>
                <w:lang w:val="en-GB"/>
              </w:rPr>
            </w:pPr>
            <w:r w:rsidRPr="00171C2D">
              <w:rPr>
                <w:rFonts w:ascii="Avenir" w:eastAsia="Avenir" w:hAnsi="Avenir" w:cs="Avenir"/>
                <w:lang w:val="en-GB"/>
              </w:rPr>
              <w:t>Advertising and press</w:t>
            </w:r>
          </w:p>
        </w:tc>
      </w:tr>
      <w:tr w:rsidR="00171C2D" w:rsidRPr="00171C2D" w14:paraId="2890DBED" w14:textId="77777777" w:rsidTr="00C10CA9">
        <w:tc>
          <w:tcPr>
            <w:tcW w:w="2819" w:type="dxa"/>
            <w:tcBorders>
              <w:top w:val="single" w:sz="8" w:space="0" w:color="000000"/>
              <w:left w:val="single" w:sz="8" w:space="0" w:color="000000"/>
              <w:bottom w:val="single" w:sz="8" w:space="0" w:color="000000"/>
              <w:right w:val="single" w:sz="8" w:space="0" w:color="000000"/>
            </w:tcBorders>
            <w:shd w:val="clear" w:color="auto" w:fill="auto"/>
          </w:tcPr>
          <w:p w14:paraId="577C7E15" w14:textId="77777777" w:rsidR="00B556DE" w:rsidRPr="00171C2D" w:rsidRDefault="000D6BB0">
            <w:pPr>
              <w:widowControl w:val="0"/>
              <w:spacing w:line="240" w:lineRule="auto"/>
              <w:rPr>
                <w:rFonts w:ascii="Avenir" w:eastAsia="Avenir" w:hAnsi="Avenir" w:cs="Avenir"/>
                <w:lang w:val="en-GB"/>
              </w:rPr>
            </w:pPr>
            <w:r w:rsidRPr="00171C2D">
              <w:rPr>
                <w:rFonts w:ascii="Avenir" w:eastAsia="Avenir" w:hAnsi="Avenir" w:cs="Avenir"/>
                <w:lang w:val="en-GB"/>
              </w:rPr>
              <w:t>Supplier 6</w:t>
            </w:r>
          </w:p>
        </w:tc>
        <w:tc>
          <w:tcPr>
            <w:tcW w:w="1726" w:type="dxa"/>
            <w:tcBorders>
              <w:top w:val="single" w:sz="8" w:space="0" w:color="000000"/>
              <w:left w:val="single" w:sz="8" w:space="0" w:color="000000"/>
              <w:bottom w:val="single" w:sz="8" w:space="0" w:color="000000"/>
              <w:right w:val="single" w:sz="8" w:space="0" w:color="000000"/>
            </w:tcBorders>
            <w:shd w:val="clear" w:color="auto" w:fill="auto"/>
          </w:tcPr>
          <w:p w14:paraId="5DFDD31A" w14:textId="710B96EF" w:rsidR="00B556DE" w:rsidRPr="00171C2D" w:rsidRDefault="009014F3" w:rsidP="001E53AD">
            <w:pPr>
              <w:widowControl w:val="0"/>
              <w:spacing w:line="240" w:lineRule="auto"/>
              <w:jc w:val="right"/>
              <w:rPr>
                <w:rFonts w:ascii="Avenir" w:eastAsia="Avenir" w:hAnsi="Avenir" w:cs="Avenir"/>
                <w:lang w:val="en-GB"/>
              </w:rPr>
            </w:pPr>
            <w:r>
              <w:rPr>
                <w:rFonts w:ascii="Avenir" w:eastAsia="Avenir" w:hAnsi="Avenir" w:cs="Avenir"/>
                <w:lang w:val="en-GB"/>
              </w:rPr>
              <w:t>GBP </w:t>
            </w:r>
            <w:r w:rsidR="000D6BB0" w:rsidRPr="00171C2D">
              <w:rPr>
                <w:rFonts w:ascii="Avenir" w:eastAsia="Avenir" w:hAnsi="Avenir" w:cs="Avenir"/>
                <w:lang w:val="en-GB"/>
              </w:rPr>
              <w:t>188,328</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14:paraId="6D9886BA" w14:textId="77777777" w:rsidR="00B556DE" w:rsidRPr="00171C2D" w:rsidRDefault="000D6BB0">
            <w:pPr>
              <w:widowControl w:val="0"/>
              <w:spacing w:line="240" w:lineRule="auto"/>
              <w:jc w:val="center"/>
              <w:rPr>
                <w:rFonts w:ascii="Avenir" w:eastAsia="Avenir" w:hAnsi="Avenir" w:cs="Avenir"/>
                <w:lang w:val="en-GB"/>
              </w:rPr>
            </w:pPr>
            <w:r w:rsidRPr="00171C2D">
              <w:rPr>
                <w:rFonts w:ascii="Avenir" w:eastAsia="Avenir" w:hAnsi="Avenir" w:cs="Avenir"/>
                <w:lang w:val="en-GB"/>
              </w:rPr>
              <w:t>Advertising</w:t>
            </w:r>
          </w:p>
        </w:tc>
        <w:tc>
          <w:tcPr>
            <w:tcW w:w="2170" w:type="dxa"/>
            <w:tcBorders>
              <w:top w:val="single" w:sz="8" w:space="0" w:color="000000"/>
              <w:left w:val="single" w:sz="8" w:space="0" w:color="000000"/>
              <w:bottom w:val="single" w:sz="8" w:space="0" w:color="000000"/>
              <w:right w:val="single" w:sz="8" w:space="0" w:color="000000"/>
            </w:tcBorders>
            <w:shd w:val="clear" w:color="auto" w:fill="auto"/>
          </w:tcPr>
          <w:p w14:paraId="0F757832" w14:textId="3E6F3BB8" w:rsidR="00B556DE" w:rsidRPr="00171C2D" w:rsidRDefault="000D6BB0">
            <w:pPr>
              <w:spacing w:line="240" w:lineRule="auto"/>
              <w:jc w:val="center"/>
              <w:rPr>
                <w:rFonts w:ascii="Avenir" w:eastAsia="Avenir" w:hAnsi="Avenir" w:cs="Avenir"/>
                <w:lang w:val="en-GB"/>
              </w:rPr>
            </w:pPr>
            <w:r w:rsidRPr="00171C2D">
              <w:rPr>
                <w:rFonts w:ascii="Avenir" w:eastAsia="Avenir" w:hAnsi="Avenir" w:cs="Avenir"/>
                <w:lang w:val="en-GB"/>
              </w:rPr>
              <w:t xml:space="preserve">Newspaper or magazine advertising; </w:t>
            </w:r>
            <w:r w:rsidRPr="00171C2D">
              <w:rPr>
                <w:rFonts w:ascii="Avenir" w:eastAsia="Avenir" w:hAnsi="Avenir" w:cs="Avenir"/>
                <w:lang w:val="en-GB"/>
              </w:rPr>
              <w:br/>
              <w:t xml:space="preserve">other forms of advertising (billboards, </w:t>
            </w:r>
            <w:proofErr w:type="spellStart"/>
            <w:r w:rsidRPr="00171C2D">
              <w:rPr>
                <w:rFonts w:ascii="Avenir" w:eastAsia="Avenir" w:hAnsi="Avenir" w:cs="Avenir"/>
                <w:lang w:val="en-GB"/>
              </w:rPr>
              <w:t>advans</w:t>
            </w:r>
            <w:proofErr w:type="spellEnd"/>
            <w:r w:rsidRPr="00171C2D">
              <w:rPr>
                <w:rFonts w:ascii="Avenir" w:eastAsia="Avenir" w:hAnsi="Avenir" w:cs="Avenir"/>
                <w:lang w:val="en-GB"/>
              </w:rPr>
              <w:t>, digital posters outside); Consultancy</w:t>
            </w:r>
          </w:p>
        </w:tc>
      </w:tr>
      <w:tr w:rsidR="009014F3" w:rsidRPr="00171C2D" w14:paraId="07C71EF4" w14:textId="77777777" w:rsidTr="00C10CA9">
        <w:tc>
          <w:tcPr>
            <w:tcW w:w="2819" w:type="dxa"/>
            <w:tcBorders>
              <w:top w:val="single" w:sz="8" w:space="0" w:color="000000"/>
              <w:left w:val="single" w:sz="8" w:space="0" w:color="000000"/>
              <w:bottom w:val="single" w:sz="8" w:space="0" w:color="000000"/>
              <w:right w:val="single" w:sz="8" w:space="0" w:color="000000"/>
            </w:tcBorders>
            <w:shd w:val="clear" w:color="auto" w:fill="auto"/>
          </w:tcPr>
          <w:p w14:paraId="5851CAB1" w14:textId="77777777" w:rsidR="00B556DE" w:rsidRPr="00171C2D" w:rsidRDefault="000D6BB0">
            <w:pPr>
              <w:widowControl w:val="0"/>
              <w:spacing w:line="240" w:lineRule="auto"/>
              <w:rPr>
                <w:rFonts w:ascii="Avenir" w:eastAsia="Avenir" w:hAnsi="Avenir" w:cs="Avenir"/>
                <w:lang w:val="en-GB"/>
              </w:rPr>
            </w:pPr>
            <w:r w:rsidRPr="00171C2D">
              <w:rPr>
                <w:rFonts w:ascii="Avenir" w:eastAsia="Avenir" w:hAnsi="Avenir" w:cs="Avenir"/>
                <w:lang w:val="en-GB"/>
              </w:rPr>
              <w:t>Supplier 7</w:t>
            </w:r>
          </w:p>
        </w:tc>
        <w:tc>
          <w:tcPr>
            <w:tcW w:w="1726" w:type="dxa"/>
            <w:tcBorders>
              <w:top w:val="single" w:sz="8" w:space="0" w:color="000000"/>
              <w:left w:val="single" w:sz="8" w:space="0" w:color="000000"/>
              <w:bottom w:val="single" w:sz="8" w:space="0" w:color="000000"/>
              <w:right w:val="single" w:sz="8" w:space="0" w:color="000000"/>
            </w:tcBorders>
            <w:shd w:val="clear" w:color="auto" w:fill="auto"/>
          </w:tcPr>
          <w:p w14:paraId="54D9DFF6" w14:textId="74619464" w:rsidR="00B556DE" w:rsidRPr="00171C2D" w:rsidRDefault="009014F3" w:rsidP="001E53AD">
            <w:pPr>
              <w:widowControl w:val="0"/>
              <w:spacing w:line="240" w:lineRule="auto"/>
              <w:jc w:val="right"/>
              <w:rPr>
                <w:rFonts w:ascii="Avenir" w:eastAsia="Avenir" w:hAnsi="Avenir" w:cs="Avenir"/>
                <w:lang w:val="en-GB"/>
              </w:rPr>
            </w:pPr>
            <w:r>
              <w:rPr>
                <w:rFonts w:ascii="Avenir" w:eastAsia="Avenir" w:hAnsi="Avenir" w:cs="Avenir"/>
                <w:lang w:val="en-GB"/>
              </w:rPr>
              <w:t>GBP </w:t>
            </w:r>
            <w:r w:rsidR="000D6BB0" w:rsidRPr="00171C2D">
              <w:rPr>
                <w:rFonts w:ascii="Avenir" w:eastAsia="Avenir" w:hAnsi="Avenir" w:cs="Avenir"/>
                <w:lang w:val="en-GB"/>
              </w:rPr>
              <w:t>86,154</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14:paraId="4571BD47" w14:textId="77777777" w:rsidR="00B556DE" w:rsidRPr="00171C2D" w:rsidRDefault="000D6BB0">
            <w:pPr>
              <w:widowControl w:val="0"/>
              <w:spacing w:line="240" w:lineRule="auto"/>
              <w:jc w:val="center"/>
              <w:rPr>
                <w:rFonts w:ascii="Avenir" w:eastAsia="Avenir" w:hAnsi="Avenir" w:cs="Avenir"/>
                <w:lang w:val="en-GB"/>
              </w:rPr>
            </w:pPr>
            <w:r w:rsidRPr="00171C2D">
              <w:rPr>
                <w:rFonts w:ascii="Avenir" w:eastAsia="Avenir" w:hAnsi="Avenir" w:cs="Avenir"/>
                <w:lang w:val="en-GB"/>
              </w:rPr>
              <w:t xml:space="preserve">Overheads and general administration; </w:t>
            </w:r>
            <w:r w:rsidRPr="00171C2D">
              <w:rPr>
                <w:rFonts w:ascii="Avenir" w:eastAsia="Avenir" w:hAnsi="Avenir" w:cs="Avenir"/>
                <w:lang w:val="en-GB"/>
              </w:rPr>
              <w:br/>
              <w:t>market research/ canvassing</w:t>
            </w:r>
          </w:p>
        </w:tc>
        <w:tc>
          <w:tcPr>
            <w:tcW w:w="2170" w:type="dxa"/>
            <w:tcBorders>
              <w:top w:val="single" w:sz="8" w:space="0" w:color="000000"/>
              <w:left w:val="single" w:sz="8" w:space="0" w:color="000000"/>
              <w:bottom w:val="single" w:sz="8" w:space="0" w:color="000000"/>
              <w:right w:val="single" w:sz="8" w:space="0" w:color="000000"/>
            </w:tcBorders>
            <w:shd w:val="clear" w:color="auto" w:fill="auto"/>
          </w:tcPr>
          <w:p w14:paraId="37772FA0" w14:textId="4C52C581" w:rsidR="00B556DE" w:rsidRPr="00171C2D" w:rsidRDefault="000D6BB0">
            <w:pPr>
              <w:spacing w:line="240" w:lineRule="auto"/>
              <w:jc w:val="center"/>
              <w:rPr>
                <w:rFonts w:ascii="Avenir" w:eastAsia="Avenir" w:hAnsi="Avenir" w:cs="Avenir"/>
                <w:lang w:val="en-GB"/>
              </w:rPr>
            </w:pPr>
            <w:r w:rsidRPr="00171C2D">
              <w:rPr>
                <w:rFonts w:ascii="Avenir" w:eastAsia="Avenir" w:hAnsi="Avenir" w:cs="Avenir"/>
                <w:lang w:val="en-GB"/>
              </w:rPr>
              <w:t>Mobile application services; Completely unclear</w:t>
            </w:r>
          </w:p>
          <w:p w14:paraId="726AD700" w14:textId="77777777" w:rsidR="00B556DE" w:rsidRPr="00171C2D" w:rsidRDefault="00B556DE">
            <w:pPr>
              <w:spacing w:line="240" w:lineRule="auto"/>
              <w:jc w:val="center"/>
              <w:rPr>
                <w:rFonts w:ascii="Avenir" w:eastAsia="Avenir" w:hAnsi="Avenir" w:cs="Avenir"/>
                <w:lang w:val="en-GB"/>
              </w:rPr>
            </w:pPr>
          </w:p>
        </w:tc>
      </w:tr>
    </w:tbl>
    <w:p w14:paraId="612F18E2" w14:textId="77777777" w:rsidR="00CD2046" w:rsidRDefault="001E53AD" w:rsidP="00CD2046">
      <w:pPr>
        <w:rPr>
          <w:rFonts w:ascii="Avenir" w:eastAsia="Avenir" w:hAnsi="Avenir" w:cs="Avenir"/>
          <w:lang w:val="en-GB"/>
        </w:rPr>
      </w:pPr>
      <w:r w:rsidRPr="001E53AD">
        <w:rPr>
          <w:rFonts w:ascii="Avenir" w:eastAsia="Avenir" w:hAnsi="Avenir" w:cs="Avenir"/>
          <w:bCs/>
          <w:i/>
          <w:iCs/>
          <w:lang w:val="en-GB"/>
        </w:rPr>
        <w:t>Source</w:t>
      </w:r>
      <w:r w:rsidRPr="001E53AD">
        <w:rPr>
          <w:rFonts w:ascii="Avenir" w:eastAsia="Avenir" w:hAnsi="Avenir" w:cs="Avenir"/>
          <w:bCs/>
          <w:lang w:val="en-GB"/>
        </w:rPr>
        <w:t>:</w:t>
      </w:r>
      <w:r w:rsidR="00CD2046">
        <w:rPr>
          <w:rFonts w:ascii="Avenir" w:eastAsia="Avenir" w:hAnsi="Avenir" w:cs="Avenir"/>
          <w:bCs/>
          <w:lang w:val="en-GB"/>
        </w:rPr>
        <w:t xml:space="preserve"> </w:t>
      </w:r>
      <w:r w:rsidR="00CD2046">
        <w:rPr>
          <w:rFonts w:ascii="Avenir" w:eastAsia="Avenir" w:hAnsi="Avenir" w:cs="Avenir"/>
          <w:lang w:val="en-GB"/>
        </w:rPr>
        <w:t>Authors´ analysis of invoices returned to the Electoral Commission for the 2019 General Election.</w:t>
      </w:r>
    </w:p>
    <w:p w14:paraId="7CFB252B" w14:textId="66DA9314" w:rsidR="00B556DE" w:rsidRPr="001E53AD" w:rsidRDefault="00B556DE">
      <w:pPr>
        <w:jc w:val="both"/>
        <w:rPr>
          <w:rFonts w:ascii="Avenir" w:eastAsia="Avenir" w:hAnsi="Avenir" w:cs="Avenir"/>
          <w:bCs/>
          <w:lang w:val="en-GB"/>
        </w:rPr>
      </w:pPr>
    </w:p>
    <w:p w14:paraId="5260455C" w14:textId="77777777" w:rsidR="001E53AD" w:rsidRPr="00171C2D" w:rsidRDefault="001E53AD">
      <w:pPr>
        <w:jc w:val="both"/>
        <w:rPr>
          <w:rFonts w:ascii="Avenir" w:eastAsia="Avenir" w:hAnsi="Avenir" w:cs="Avenir"/>
          <w:b/>
          <w:lang w:val="en-GB"/>
        </w:rPr>
      </w:pPr>
    </w:p>
    <w:p w14:paraId="49CDDB1B" w14:textId="3869A808" w:rsidR="00B556DE" w:rsidRPr="00171C2D" w:rsidRDefault="000D6BB0">
      <w:pPr>
        <w:jc w:val="both"/>
        <w:rPr>
          <w:rFonts w:ascii="Avenir" w:eastAsia="Avenir" w:hAnsi="Avenir" w:cs="Avenir"/>
          <w:lang w:val="en-GB"/>
        </w:rPr>
      </w:pPr>
      <w:r w:rsidRPr="00171C2D">
        <w:rPr>
          <w:rFonts w:ascii="Avenir" w:eastAsia="Avenir" w:hAnsi="Avenir" w:cs="Avenir"/>
          <w:lang w:val="en-GB"/>
        </w:rPr>
        <w:t>Looking at the additional detail, the research team found that a number of these companies advertise themselves as offering different services from those suggested by Electoral Commission categories and this project’s invoice coding. Beginning with the Conservative Party, Supplier 1 was the one with the single largest spend, and yet there was exceedingly limited detail about their activity. Invoices largely either described the work as ‘For Research’</w:t>
      </w:r>
      <w:r w:rsidRPr="00171C2D">
        <w:rPr>
          <w:rStyle w:val="FootnoteAnchor"/>
          <w:rFonts w:ascii="Avenir" w:eastAsia="Avenir" w:hAnsi="Avenir" w:cs="Avenir"/>
          <w:lang w:val="en-GB"/>
        </w:rPr>
        <w:footnoteReference w:id="24"/>
      </w:r>
      <w:r w:rsidRPr="00171C2D">
        <w:rPr>
          <w:rFonts w:ascii="Avenir" w:eastAsia="Avenir" w:hAnsi="Avenir" w:cs="Avenir"/>
          <w:lang w:val="en-GB"/>
        </w:rPr>
        <w:t xml:space="preserve"> (coded in the new ‘research’ category and accounting for </w:t>
      </w:r>
      <w:r w:rsidR="009014F3">
        <w:rPr>
          <w:rFonts w:ascii="Avenir" w:eastAsia="Avenir" w:hAnsi="Avenir" w:cs="Avenir"/>
          <w:lang w:val="en-GB"/>
        </w:rPr>
        <w:t>GBP </w:t>
      </w:r>
      <w:r w:rsidRPr="00171C2D">
        <w:rPr>
          <w:rFonts w:ascii="Avenir" w:eastAsia="Avenir" w:hAnsi="Avenir" w:cs="Avenir"/>
          <w:lang w:val="en-GB"/>
        </w:rPr>
        <w:t xml:space="preserve">1,065,000 of spend with this supplier), or ‘For research poll’ (coded in the new ‘polling’ category and accounting for </w:t>
      </w:r>
      <w:r w:rsidR="009014F3">
        <w:rPr>
          <w:rFonts w:ascii="Avenir" w:eastAsia="Avenir" w:hAnsi="Avenir" w:cs="Avenir"/>
          <w:lang w:val="en-GB"/>
        </w:rPr>
        <w:t>GBP </w:t>
      </w:r>
      <w:r w:rsidRPr="00171C2D">
        <w:rPr>
          <w:rFonts w:ascii="Avenir" w:eastAsia="Avenir" w:hAnsi="Avenir" w:cs="Avenir"/>
          <w:lang w:val="en-GB"/>
        </w:rPr>
        <w:t>624,000 of spend with this supplier). When looking at the company’s website, however, a far wider range of services are provided, including offering ‘Digital expertise’, ‘Reputation management’ and ‘Support in the field’. Expanding on this last service, the company describes how it:</w:t>
      </w:r>
    </w:p>
    <w:p w14:paraId="795B77A4" w14:textId="77777777" w:rsidR="00B556DE" w:rsidRPr="00171C2D" w:rsidRDefault="00B556DE">
      <w:pPr>
        <w:jc w:val="both"/>
        <w:rPr>
          <w:rFonts w:ascii="Avenir" w:eastAsia="Avenir" w:hAnsi="Avenir" w:cs="Avenir"/>
          <w:lang w:val="en-GB"/>
        </w:rPr>
      </w:pPr>
    </w:p>
    <w:p w14:paraId="4509D0CE" w14:textId="152AE06D" w:rsidR="00B556DE" w:rsidRPr="00171C2D" w:rsidRDefault="000D6BB0">
      <w:pPr>
        <w:ind w:left="1440" w:right="726"/>
        <w:jc w:val="both"/>
        <w:rPr>
          <w:rFonts w:ascii="Avenir" w:eastAsia="Avenir" w:hAnsi="Avenir" w:cs="Avenir"/>
          <w:lang w:val="en-GB"/>
        </w:rPr>
      </w:pPr>
      <w:r w:rsidRPr="00171C2D">
        <w:rPr>
          <w:rFonts w:ascii="Avenir" w:eastAsia="Avenir" w:hAnsi="Avenir" w:cs="Avenir"/>
          <w:lang w:val="en-GB"/>
        </w:rPr>
        <w:t>.</w:t>
      </w:r>
      <w:r w:rsidR="009014F3">
        <w:rPr>
          <w:rFonts w:ascii="Avenir" w:eastAsia="Avenir" w:hAnsi="Avenir" w:cs="Avenir"/>
          <w:lang w:val="en-GB"/>
        </w:rPr>
        <w:t>.</w:t>
      </w:r>
      <w:r w:rsidRPr="00171C2D">
        <w:rPr>
          <w:rFonts w:ascii="Avenir" w:eastAsia="Avenir" w:hAnsi="Avenir" w:cs="Avenir"/>
          <w:lang w:val="en-GB"/>
        </w:rPr>
        <w:t xml:space="preserve">. offer[s] a range of campaign management tools, including the integration of our team with yours, in-house. Our experienced campaign experts can be embedded within a client’s organisation, providing real time rollout and support. This ‘one team’ approach sees campaign opportunities maximised and challenges contained as they arise, thereby ensuring a campaign achieves real momentum. Working together in this integrated way, we can live and breathe your objectives </w:t>
      </w:r>
      <w:proofErr w:type="gramStart"/>
      <w:r w:rsidRPr="00171C2D">
        <w:rPr>
          <w:rFonts w:ascii="Avenir" w:eastAsia="Avenir" w:hAnsi="Avenir" w:cs="Avenir"/>
          <w:lang w:val="en-GB"/>
        </w:rPr>
        <w:t>on a daily basis</w:t>
      </w:r>
      <w:proofErr w:type="gramEnd"/>
      <w:r w:rsidRPr="00171C2D">
        <w:rPr>
          <w:rFonts w:ascii="Avenir" w:eastAsia="Avenir" w:hAnsi="Avenir" w:cs="Avenir"/>
          <w:lang w:val="en-GB"/>
        </w:rPr>
        <w:t>.</w:t>
      </w:r>
    </w:p>
    <w:p w14:paraId="249C3CFD" w14:textId="77777777" w:rsidR="00B556DE" w:rsidRPr="00171C2D" w:rsidRDefault="00B556DE">
      <w:pPr>
        <w:jc w:val="both"/>
        <w:rPr>
          <w:rFonts w:ascii="Avenir" w:eastAsia="Avenir" w:hAnsi="Avenir" w:cs="Avenir"/>
          <w:lang w:val="en-GB"/>
        </w:rPr>
      </w:pPr>
    </w:p>
    <w:p w14:paraId="18DC7AB2" w14:textId="77777777"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This description mirrors reports of Supplier 1’s role in earlier elections, with insider accounts from after the election describing how key figures within the company were embedded in the Conservatives’ election campaign team (Ross 2015). Such additional sources of information suggest </w:t>
      </w:r>
      <w:r w:rsidRPr="00171C2D">
        <w:rPr>
          <w:rFonts w:ascii="Avenir" w:eastAsia="Avenir" w:hAnsi="Avenir" w:cs="Avenir"/>
          <w:lang w:val="en-GB"/>
        </w:rPr>
        <w:lastRenderedPageBreak/>
        <w:t xml:space="preserve">that this supplier may have been providing additional services obscured by the categories and invoice descriptions utilized. </w:t>
      </w:r>
    </w:p>
    <w:p w14:paraId="5D5BCEC3" w14:textId="77777777" w:rsidR="00B556DE" w:rsidRPr="00171C2D" w:rsidRDefault="00B556DE">
      <w:pPr>
        <w:jc w:val="both"/>
        <w:rPr>
          <w:rFonts w:ascii="Avenir" w:eastAsia="Avenir" w:hAnsi="Avenir" w:cs="Avenir"/>
          <w:lang w:val="en-GB"/>
        </w:rPr>
      </w:pPr>
    </w:p>
    <w:p w14:paraId="2617EF59" w14:textId="77777777" w:rsidR="00B556DE" w:rsidRPr="00171C2D" w:rsidRDefault="000D6BB0">
      <w:pPr>
        <w:jc w:val="both"/>
        <w:rPr>
          <w:rFonts w:ascii="Avenir" w:eastAsia="Avenir" w:hAnsi="Avenir" w:cs="Avenir"/>
          <w:lang w:val="en-GB"/>
        </w:rPr>
      </w:pPr>
      <w:r w:rsidRPr="00171C2D">
        <w:rPr>
          <w:rFonts w:ascii="Avenir" w:eastAsia="Avenir" w:hAnsi="Avenir" w:cs="Avenir"/>
          <w:lang w:val="en-GB"/>
        </w:rPr>
        <w:t>Turning to Supplier 2, this supplier was coded as completely unclear within the analysis, as the invoice’s description of service stated only ‘Provision of Services as detailed in the Statements of Works’.</w:t>
      </w:r>
      <w:r w:rsidRPr="00171C2D">
        <w:rPr>
          <w:rStyle w:val="FootnoteAnchor"/>
          <w:rFonts w:ascii="Avenir" w:eastAsia="Avenir" w:hAnsi="Avenir" w:cs="Avenir"/>
          <w:lang w:val="en-GB"/>
        </w:rPr>
        <w:footnoteReference w:id="25"/>
      </w:r>
      <w:r w:rsidRPr="00171C2D">
        <w:rPr>
          <w:rFonts w:ascii="Avenir" w:eastAsia="Avenir" w:hAnsi="Avenir" w:cs="Avenir"/>
          <w:lang w:val="en-GB"/>
        </w:rPr>
        <w:t xml:space="preserve"> While the Electoral Commission category suggested that they were conducting market research/canvassing, the research team’s additional analysis suggests that they may have been performing other services. The company’s website, for example, talks about running ‘insight-backed campaigns’ and helping to ‘develop strategies to tell your story to the world in a compelling and consistent way’. Job advertisements also proclaimed the company’s role in identifying ‘the voters that helped swing the UK general election’. Such descriptions indicate that the company may have been offering other functions that were obscured by the ambiguous descriptions within invoices. </w:t>
      </w:r>
    </w:p>
    <w:p w14:paraId="7F46015F" w14:textId="77777777" w:rsidR="00B556DE" w:rsidRPr="00171C2D" w:rsidRDefault="00B556DE">
      <w:pPr>
        <w:jc w:val="both"/>
        <w:rPr>
          <w:rFonts w:ascii="Avenir" w:eastAsia="Avenir" w:hAnsi="Avenir" w:cs="Avenir"/>
          <w:lang w:val="en-GB"/>
        </w:rPr>
      </w:pPr>
    </w:p>
    <w:p w14:paraId="3BAF83C3" w14:textId="181CA95D" w:rsidR="00B556DE" w:rsidRPr="00171C2D" w:rsidRDefault="000D6BB0">
      <w:pPr>
        <w:jc w:val="both"/>
        <w:rPr>
          <w:rFonts w:ascii="Avenir" w:eastAsia="Avenir" w:hAnsi="Avenir" w:cs="Avenir"/>
          <w:lang w:val="en-GB"/>
        </w:rPr>
      </w:pPr>
      <w:r w:rsidRPr="00171C2D">
        <w:rPr>
          <w:rFonts w:ascii="Avenir" w:eastAsia="Avenir" w:hAnsi="Avenir" w:cs="Avenir"/>
          <w:lang w:val="en-GB"/>
        </w:rPr>
        <w:t>In a similar way, when looking at Supplier</w:t>
      </w:r>
      <w:r w:rsidR="005F2F11">
        <w:rPr>
          <w:rFonts w:ascii="Avenir" w:eastAsia="Avenir" w:hAnsi="Avenir" w:cs="Avenir"/>
          <w:lang w:val="en-GB"/>
        </w:rPr>
        <w:t> </w:t>
      </w:r>
      <w:r w:rsidRPr="00171C2D">
        <w:rPr>
          <w:rFonts w:ascii="Avenir" w:eastAsia="Avenir" w:hAnsi="Avenir" w:cs="Avenir"/>
          <w:lang w:val="en-GB"/>
        </w:rPr>
        <w:t xml:space="preserve">3, the research team found evidence that additional services may have been provided. The Electoral Commission categories focused on advertising, while the new coding the research team drew up suggested that invoices were completely unclear. Looking at the suppliers’ website, it appears that the company does indeed offer advertising, but particularly offers advice on advertising strategy and optimization. The website accordingly describes how the company ‘invented lifecycle marketing for programmatic advertising to deliver maximum value to our clients. Our results-focused, data-driven advertising is powered by proprietary technology and trading expertise, enabling us to intelligently target users throughout your customer lifecycle – and increase your customer lifetime value.’ This company accordingly appears to be offering the form of data-driven consultancy service that is often described in the literature (Dommett 2019), but that seems conspicuously lacking within the </w:t>
      </w:r>
      <w:r w:rsidR="00053ECE" w:rsidRPr="00171C2D">
        <w:rPr>
          <w:rFonts w:ascii="Avenir" w:eastAsia="Avenir" w:hAnsi="Avenir" w:cs="Avenir"/>
          <w:lang w:val="en-GB"/>
        </w:rPr>
        <w:t>invoices that</w:t>
      </w:r>
      <w:r w:rsidR="008C0897" w:rsidRPr="00171C2D">
        <w:rPr>
          <w:rFonts w:ascii="Avenir" w:eastAsia="Avenir" w:hAnsi="Avenir" w:cs="Avenir"/>
          <w:lang w:val="en-GB"/>
        </w:rPr>
        <w:t xml:space="preserve"> were</w:t>
      </w:r>
      <w:r w:rsidRPr="00171C2D">
        <w:rPr>
          <w:rFonts w:ascii="Avenir" w:eastAsia="Avenir" w:hAnsi="Avenir" w:cs="Avenir"/>
          <w:lang w:val="en-GB"/>
        </w:rPr>
        <w:t xml:space="preserve"> coded. </w:t>
      </w:r>
    </w:p>
    <w:p w14:paraId="575E9932" w14:textId="77777777" w:rsidR="00B556DE" w:rsidRPr="00171C2D" w:rsidRDefault="00B556DE">
      <w:pPr>
        <w:jc w:val="both"/>
        <w:rPr>
          <w:rFonts w:ascii="Avenir" w:eastAsia="Avenir" w:hAnsi="Avenir" w:cs="Avenir"/>
          <w:lang w:val="en-GB"/>
        </w:rPr>
      </w:pPr>
    </w:p>
    <w:p w14:paraId="6327E655" w14:textId="77777777"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Turning to look at the Labour Party, the research team also found that the coding of Supplier 5 obscured some aspects of its work. The company’s own website, for example, describes its business as offering the ‘best data and technology to reach every voter, on every device, everywhere’, explaining how they offer ‘advanced programmatic voter targeted digital ad campaigns’. Such descriptions suggest that this supplier is not only placing adverts, but also offering advice on advertising strategy. In a similar way, the research team also found that Supplier 7 advertised itself as offering a wider range of services than reflected in the Electoral Commission’s categories and invoices. Indeed, the company website mentions a range of possible services, including: ‘digital product design and engineering’, ‘digital brand and UI’, ‘search engine optimisation’, ‘A/B testing’ and ‘support and maintenance’. It also emphasizes that it ‘can help you assess your current customer experience or innovation ideas through </w:t>
      </w:r>
      <w:proofErr w:type="gramStart"/>
      <w:r w:rsidRPr="00171C2D">
        <w:rPr>
          <w:rFonts w:ascii="Avenir" w:eastAsia="Avenir" w:hAnsi="Avenir" w:cs="Avenir"/>
          <w:lang w:val="en-GB"/>
        </w:rPr>
        <w:t>a number of</w:t>
      </w:r>
      <w:proofErr w:type="gramEnd"/>
      <w:r w:rsidRPr="00171C2D">
        <w:rPr>
          <w:rFonts w:ascii="Avenir" w:eastAsia="Avenir" w:hAnsi="Avenir" w:cs="Avenir"/>
          <w:lang w:val="en-GB"/>
        </w:rPr>
        <w:t xml:space="preserve"> different qual and quant research activities, including in-person or remote user testing. We bring the human factor to digital products, measure behavioural responses, and integrate this powerful customer insight in the solutions we put forward.’ </w:t>
      </w:r>
    </w:p>
    <w:p w14:paraId="0CBC3C8C" w14:textId="77777777" w:rsidR="00B556DE" w:rsidRPr="00171C2D" w:rsidRDefault="00B556DE">
      <w:pPr>
        <w:jc w:val="both"/>
        <w:rPr>
          <w:rFonts w:ascii="Avenir" w:eastAsia="Avenir" w:hAnsi="Avenir" w:cs="Avenir"/>
          <w:lang w:val="en-GB"/>
        </w:rPr>
      </w:pPr>
    </w:p>
    <w:p w14:paraId="2C6B8F64" w14:textId="77777777"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While there is, of course, no guarantee that these suppliers were providing each of these services to these parties, this additional information helps to reveal what is potentially being obscured by the broad Electoral Commission categories, and the vague invoice descriptions within available </w:t>
      </w:r>
      <w:r w:rsidRPr="00171C2D">
        <w:rPr>
          <w:rFonts w:ascii="Avenir" w:eastAsia="Avenir" w:hAnsi="Avenir" w:cs="Avenir"/>
          <w:lang w:val="en-GB"/>
        </w:rPr>
        <w:lastRenderedPageBreak/>
        <w:t xml:space="preserve">transparency data. CSOs, election monitors and investigators across the world should take a mixed-methods approach, examining the activity of suppliers through as many sources as possible to create the largest possible picture of their activities with political parties. </w:t>
      </w:r>
    </w:p>
    <w:p w14:paraId="3568C293" w14:textId="77777777" w:rsidR="00B556DE" w:rsidRPr="00171C2D" w:rsidRDefault="00B556DE">
      <w:pPr>
        <w:shd w:val="clear" w:color="auto" w:fill="FFFFFF"/>
        <w:jc w:val="both"/>
        <w:rPr>
          <w:rFonts w:ascii="Roboto" w:eastAsia="Roboto" w:hAnsi="Roboto" w:cs="Roboto"/>
          <w:sz w:val="21"/>
          <w:szCs w:val="21"/>
          <w:lang w:val="en-GB"/>
        </w:rPr>
      </w:pPr>
    </w:p>
    <w:p w14:paraId="0EFD53AD" w14:textId="77777777" w:rsidR="00B556DE" w:rsidRPr="00171C2D" w:rsidRDefault="000D6BB0">
      <w:pPr>
        <w:jc w:val="both"/>
        <w:rPr>
          <w:rFonts w:ascii="Avenir" w:eastAsia="Avenir" w:hAnsi="Avenir" w:cs="Avenir"/>
          <w:highlight w:val="white"/>
          <w:lang w:val="en-GB"/>
        </w:rPr>
      </w:pPr>
      <w:r w:rsidRPr="00171C2D">
        <w:rPr>
          <w:rFonts w:ascii="Avenir" w:eastAsia="Avenir" w:hAnsi="Avenir" w:cs="Avenir"/>
          <w:highlight w:val="white"/>
          <w:lang w:val="en-GB"/>
        </w:rPr>
        <w:t>Considerations for CSOs include:</w:t>
      </w:r>
    </w:p>
    <w:p w14:paraId="6E982F98" w14:textId="24189B08" w:rsidR="00B556DE" w:rsidRPr="00171C2D" w:rsidRDefault="000D6BB0" w:rsidP="00053ECE">
      <w:pPr>
        <w:numPr>
          <w:ilvl w:val="0"/>
          <w:numId w:val="9"/>
        </w:numPr>
        <w:jc w:val="both"/>
        <w:rPr>
          <w:rFonts w:ascii="Avenir" w:eastAsia="Avenir" w:hAnsi="Avenir" w:cs="Avenir"/>
          <w:lang w:val="en-GB"/>
        </w:rPr>
      </w:pPr>
      <w:r w:rsidRPr="00171C2D">
        <w:rPr>
          <w:rFonts w:ascii="Avenir" w:eastAsia="Avenir" w:hAnsi="Avenir" w:cs="Avenir"/>
          <w:lang w:val="en-GB"/>
        </w:rPr>
        <w:t xml:space="preserve">When investigating elections that have already taken place, CSOs should rely on </w:t>
      </w:r>
      <w:proofErr w:type="gramStart"/>
      <w:r w:rsidRPr="00171C2D">
        <w:rPr>
          <w:rFonts w:ascii="Avenir" w:eastAsia="Avenir" w:hAnsi="Avenir" w:cs="Avenir"/>
          <w:lang w:val="en-GB"/>
        </w:rPr>
        <w:t>mixed-method</w:t>
      </w:r>
      <w:proofErr w:type="gramEnd"/>
      <w:r w:rsidRPr="00171C2D">
        <w:rPr>
          <w:rFonts w:ascii="Avenir" w:eastAsia="Avenir" w:hAnsi="Avenir" w:cs="Avenir"/>
          <w:lang w:val="en-GB"/>
        </w:rPr>
        <w:t xml:space="preserve"> approaches to understand the full spectrum of work taking place. These sources should include company databases, invoice traces, websites of the suppliers, and interviews with industry professionals.</w:t>
      </w:r>
      <w:bookmarkStart w:id="13" w:name="_Hlk98171166"/>
      <w:bookmarkEnd w:id="13"/>
    </w:p>
    <w:p w14:paraId="5F66CF55" w14:textId="77777777" w:rsidR="00B556DE" w:rsidRPr="00171C2D" w:rsidRDefault="000D6BB0">
      <w:pPr>
        <w:pStyle w:val="Heading3"/>
        <w:numPr>
          <w:ilvl w:val="1"/>
          <w:numId w:val="59"/>
        </w:numPr>
        <w:rPr>
          <w:color w:val="auto"/>
          <w:lang w:val="en-GB"/>
        </w:rPr>
      </w:pPr>
      <w:r w:rsidRPr="00171C2D">
        <w:rPr>
          <w:color w:val="auto"/>
          <w:lang w:val="en-GB"/>
        </w:rPr>
        <w:t>Extending existing transparency requirements</w:t>
      </w:r>
    </w:p>
    <w:p w14:paraId="062CC620" w14:textId="77777777"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By investigating the activities of high-cost suppliers using other sources, the analysis also allowed the research team to reflect on the potential to extend existing transparency around suppliers. In essence, by searching sources such as supplier websites, Companies House records and news coverage, the team was able to gather new information about the age, business model, clients, </w:t>
      </w:r>
      <w:proofErr w:type="gramStart"/>
      <w:r w:rsidRPr="00171C2D">
        <w:rPr>
          <w:rFonts w:ascii="Avenir" w:eastAsia="Avenir" w:hAnsi="Avenir" w:cs="Avenir"/>
          <w:lang w:val="en-GB"/>
        </w:rPr>
        <w:t>staff</w:t>
      </w:r>
      <w:proofErr w:type="gramEnd"/>
      <w:r w:rsidRPr="00171C2D">
        <w:rPr>
          <w:rFonts w:ascii="Avenir" w:eastAsia="Avenir" w:hAnsi="Avenir" w:cs="Avenir"/>
          <w:lang w:val="en-GB"/>
        </w:rPr>
        <w:t xml:space="preserve"> and domestic/international focus of these companies. Adopting this approach, the research team discerned </w:t>
      </w:r>
      <w:proofErr w:type="gramStart"/>
      <w:r w:rsidRPr="00171C2D">
        <w:rPr>
          <w:rFonts w:ascii="Avenir" w:eastAsia="Avenir" w:hAnsi="Avenir" w:cs="Avenir"/>
          <w:lang w:val="en-GB"/>
        </w:rPr>
        <w:t>a number of</w:t>
      </w:r>
      <w:proofErr w:type="gramEnd"/>
      <w:r w:rsidRPr="00171C2D">
        <w:rPr>
          <w:rFonts w:ascii="Avenir" w:eastAsia="Avenir" w:hAnsi="Avenir" w:cs="Avenir"/>
          <w:lang w:val="en-GB"/>
        </w:rPr>
        <w:t xml:space="preserve"> patterns in suppliers that suggest that there is value in additional transparency that could facilitate more thorough investigation of their nature and work. </w:t>
      </w:r>
    </w:p>
    <w:p w14:paraId="7EB96FB8" w14:textId="77777777" w:rsidR="00B556DE" w:rsidRPr="00171C2D" w:rsidRDefault="00B556DE">
      <w:pPr>
        <w:jc w:val="both"/>
        <w:rPr>
          <w:rFonts w:ascii="Avenir" w:eastAsia="Avenir" w:hAnsi="Avenir" w:cs="Avenir"/>
          <w:lang w:val="en-GB"/>
        </w:rPr>
      </w:pPr>
    </w:p>
    <w:p w14:paraId="2AFFEB98" w14:textId="73748933" w:rsidR="00B556DE" w:rsidRPr="00171C2D" w:rsidRDefault="000D6BB0">
      <w:pPr>
        <w:jc w:val="both"/>
        <w:rPr>
          <w:rFonts w:ascii="Avenir" w:eastAsia="Avenir" w:hAnsi="Avenir" w:cs="Avenir"/>
          <w:lang w:val="en-GB"/>
        </w:rPr>
      </w:pPr>
      <w:r w:rsidRPr="00171C2D">
        <w:rPr>
          <w:rFonts w:ascii="Avenir" w:eastAsia="Avenir" w:hAnsi="Avenir" w:cs="Avenir"/>
          <w:lang w:val="en-GB"/>
        </w:rPr>
        <w:t>First, the analysis of additional transparency information suggested that the business model of some companies appeared to operate exclusively around the election cycle, and in some cases even for just the 2019 General Election. A good example of such a company is Supplier</w:t>
      </w:r>
      <w:r w:rsidR="008A682D">
        <w:rPr>
          <w:rFonts w:ascii="Avenir" w:eastAsia="Avenir" w:hAnsi="Avenir" w:cs="Avenir"/>
          <w:lang w:val="en-GB"/>
        </w:rPr>
        <w:t> </w:t>
      </w:r>
      <w:r w:rsidRPr="00171C2D">
        <w:rPr>
          <w:rFonts w:ascii="Avenir" w:eastAsia="Avenir" w:hAnsi="Avenir" w:cs="Avenir"/>
          <w:lang w:val="en-GB"/>
        </w:rPr>
        <w:t xml:space="preserve">4, who </w:t>
      </w:r>
      <w:r w:rsidR="00DB7516" w:rsidRPr="00171C2D">
        <w:rPr>
          <w:rFonts w:ascii="Avenir" w:eastAsia="Avenir" w:hAnsi="Avenir" w:cs="Avenir"/>
          <w:lang w:val="en-GB"/>
        </w:rPr>
        <w:t xml:space="preserve">were </w:t>
      </w:r>
      <w:r w:rsidRPr="00171C2D">
        <w:rPr>
          <w:rFonts w:ascii="Avenir" w:eastAsia="Avenir" w:hAnsi="Avenir" w:cs="Avenir"/>
          <w:lang w:val="en-GB"/>
        </w:rPr>
        <w:t xml:space="preserve">hired as consultants for the Conservatives for </w:t>
      </w:r>
      <w:r w:rsidR="009014F3">
        <w:rPr>
          <w:rFonts w:ascii="Avenir" w:eastAsia="Avenir" w:hAnsi="Avenir" w:cs="Avenir"/>
          <w:lang w:val="en-GB"/>
        </w:rPr>
        <w:t>GBP </w:t>
      </w:r>
      <w:r w:rsidRPr="00171C2D">
        <w:rPr>
          <w:rFonts w:ascii="Avenir" w:eastAsia="Avenir" w:hAnsi="Avenir" w:cs="Avenir"/>
          <w:lang w:val="en-GB"/>
        </w:rPr>
        <w:t>140,000. Supplier</w:t>
      </w:r>
      <w:r w:rsidR="008A682D">
        <w:rPr>
          <w:rFonts w:ascii="Avenir" w:eastAsia="Avenir" w:hAnsi="Avenir" w:cs="Avenir"/>
          <w:lang w:val="en-GB"/>
        </w:rPr>
        <w:t> </w:t>
      </w:r>
      <w:r w:rsidRPr="00171C2D">
        <w:rPr>
          <w:rFonts w:ascii="Avenir" w:eastAsia="Avenir" w:hAnsi="Avenir" w:cs="Avenir"/>
          <w:lang w:val="en-GB"/>
        </w:rPr>
        <w:t xml:space="preserve">4 was established in March 2019 and lists as its directors the former Head of Opposition Research and former Head of Media Monitoring for the Conservative Party. The company has no online presence, but it is clear from its invoices that it provided the same services for the Conservative Party in 2019 (classified in the Electoral Commission database as ‘overheads and general administration’). There is no evidence of acquiring additional clients since the 2019 General Election, and it therefore appears that the supplier is not only a company that exclusively serves political clients, but that it was also likely established with a particular party in mind. </w:t>
      </w:r>
    </w:p>
    <w:p w14:paraId="36FDE289" w14:textId="77777777" w:rsidR="00B556DE" w:rsidRPr="00171C2D" w:rsidRDefault="00B556DE">
      <w:pPr>
        <w:jc w:val="both"/>
        <w:rPr>
          <w:rFonts w:ascii="Avenir" w:eastAsia="Avenir" w:hAnsi="Avenir" w:cs="Avenir"/>
          <w:lang w:val="en-GB"/>
        </w:rPr>
      </w:pPr>
    </w:p>
    <w:p w14:paraId="44E88413" w14:textId="2CBDF18F" w:rsidR="00B556DE" w:rsidRPr="00171C2D" w:rsidRDefault="000D6BB0">
      <w:pPr>
        <w:jc w:val="both"/>
        <w:rPr>
          <w:rFonts w:ascii="Avenir" w:eastAsia="Avenir" w:hAnsi="Avenir" w:cs="Avenir"/>
          <w:lang w:val="en-GB"/>
        </w:rPr>
      </w:pPr>
      <w:r w:rsidRPr="00171C2D">
        <w:rPr>
          <w:rFonts w:ascii="Avenir" w:eastAsia="Avenir" w:hAnsi="Avenir" w:cs="Avenir"/>
          <w:lang w:val="en-GB"/>
        </w:rPr>
        <w:t>Exploration into other cases shows that other companies are also only operating at elections, although they have worked with a wider pool of clients. Supplier</w:t>
      </w:r>
      <w:r w:rsidR="00606999">
        <w:rPr>
          <w:rFonts w:ascii="Avenir" w:eastAsia="Avenir" w:hAnsi="Avenir" w:cs="Avenir"/>
          <w:lang w:val="en-GB"/>
        </w:rPr>
        <w:t> </w:t>
      </w:r>
      <w:r w:rsidRPr="00171C2D">
        <w:rPr>
          <w:rFonts w:ascii="Avenir" w:eastAsia="Avenir" w:hAnsi="Avenir" w:cs="Avenir"/>
          <w:lang w:val="en-GB"/>
        </w:rPr>
        <w:t xml:space="preserve">5, for example, was hired by the Labour Party in 2019 for </w:t>
      </w:r>
      <w:r w:rsidR="009014F3">
        <w:rPr>
          <w:rFonts w:ascii="Avenir" w:eastAsia="Avenir" w:hAnsi="Avenir" w:cs="Avenir"/>
          <w:lang w:val="en-GB"/>
        </w:rPr>
        <w:t>GBP </w:t>
      </w:r>
      <w:r w:rsidRPr="00171C2D">
        <w:rPr>
          <w:rFonts w:ascii="Avenir" w:eastAsia="Avenir" w:hAnsi="Avenir" w:cs="Avenir"/>
          <w:lang w:val="en-GB"/>
        </w:rPr>
        <w:t>575,000, but according to its website has worked with ‘progressive’ parties and candidates worldwide, particularly in US politics. According to the invoices submitted to the Electoral Commission, the fee charged was in exchange for simply ‘Media buys’, but a more detailed examination of the company’s website shows that it offers a range of programmatic advertising services, which (as noted in the above section) go beyond simply acquiring space for campaign advertising. This diverse range of services and wider range of clients illustrates the different approaches between some suppliers, such as Supplier</w:t>
      </w:r>
      <w:r w:rsidR="00606999">
        <w:rPr>
          <w:rFonts w:ascii="Avenir" w:eastAsia="Avenir" w:hAnsi="Avenir" w:cs="Avenir"/>
          <w:lang w:val="en-GB"/>
        </w:rPr>
        <w:t> </w:t>
      </w:r>
      <w:r w:rsidRPr="00171C2D">
        <w:rPr>
          <w:rFonts w:ascii="Avenir" w:eastAsia="Avenir" w:hAnsi="Avenir" w:cs="Avenir"/>
          <w:lang w:val="en-GB"/>
        </w:rPr>
        <w:t>5, and others such as Supplier</w:t>
      </w:r>
      <w:r w:rsidR="00606999">
        <w:rPr>
          <w:rFonts w:ascii="Avenir" w:eastAsia="Avenir" w:hAnsi="Avenir" w:cs="Avenir"/>
          <w:lang w:val="en-GB"/>
        </w:rPr>
        <w:t> </w:t>
      </w:r>
      <w:r w:rsidRPr="00171C2D">
        <w:rPr>
          <w:rFonts w:ascii="Avenir" w:eastAsia="Avenir" w:hAnsi="Avenir" w:cs="Avenir"/>
          <w:lang w:val="en-GB"/>
        </w:rPr>
        <w:t xml:space="preserve">4. </w:t>
      </w:r>
    </w:p>
    <w:p w14:paraId="271FB2BB" w14:textId="77777777" w:rsidR="00B556DE" w:rsidRPr="00171C2D" w:rsidRDefault="00B556DE">
      <w:pPr>
        <w:jc w:val="both"/>
        <w:rPr>
          <w:rFonts w:ascii="Avenir" w:eastAsia="Avenir" w:hAnsi="Avenir" w:cs="Avenir"/>
          <w:lang w:val="en-GB"/>
        </w:rPr>
      </w:pPr>
    </w:p>
    <w:p w14:paraId="06188402" w14:textId="77777777"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There are also examples of suppliers that receive a high level of spend from parties, but are not exclusively catering to political clients, meaning that their business is not as closely tied to the </w:t>
      </w:r>
      <w:r w:rsidRPr="00171C2D">
        <w:rPr>
          <w:rFonts w:ascii="Avenir" w:eastAsia="Avenir" w:hAnsi="Avenir" w:cs="Avenir"/>
          <w:lang w:val="en-GB"/>
        </w:rPr>
        <w:lastRenderedPageBreak/>
        <w:t xml:space="preserve">election cycle. Some of these differences are due to the services they provide, which are not inherently political and instead are related to the logistics of running an election campaign. Others, however, provide specialist services to political parties and yet at the same time do not exclusively work for clients standing for election. Supplier 6, for instance, has provided political communications consultancy to the Labour Party over </w:t>
      </w:r>
      <w:proofErr w:type="gramStart"/>
      <w:r w:rsidRPr="00171C2D">
        <w:rPr>
          <w:rFonts w:ascii="Avenir" w:eastAsia="Avenir" w:hAnsi="Avenir" w:cs="Avenir"/>
          <w:lang w:val="en-GB"/>
        </w:rPr>
        <w:t>a number of</w:t>
      </w:r>
      <w:proofErr w:type="gramEnd"/>
      <w:r w:rsidRPr="00171C2D">
        <w:rPr>
          <w:rFonts w:ascii="Avenir" w:eastAsia="Avenir" w:hAnsi="Avenir" w:cs="Avenir"/>
          <w:lang w:val="en-GB"/>
        </w:rPr>
        <w:t xml:space="preserve"> years, but also lists a range of governments, not-for-profit organizations and pressure groups among its clients, based both in the UK and internationally. This work too appears to be commissioned by bodies operating with a broadly progressive political outlook, with Supplier 6 being regarded as the ‘Saatchi of the Left’ (</w:t>
      </w:r>
      <w:proofErr w:type="spellStart"/>
      <w:r w:rsidRPr="00171C2D">
        <w:rPr>
          <w:rFonts w:ascii="Avenir" w:eastAsia="Avenir" w:hAnsi="Avenir" w:cs="Avenir"/>
          <w:lang w:val="en-GB"/>
        </w:rPr>
        <w:t>Pogrund</w:t>
      </w:r>
      <w:proofErr w:type="spellEnd"/>
      <w:r w:rsidRPr="00171C2D">
        <w:rPr>
          <w:rFonts w:ascii="Avenir" w:eastAsia="Avenir" w:hAnsi="Avenir" w:cs="Avenir"/>
          <w:lang w:val="en-GB"/>
        </w:rPr>
        <w:t xml:space="preserve"> and Maguire 2020). These examples illustrate how many of the suppliers that attract the highest spend from parties during the 2019 General Election have pre-existing relationships with parties in one way or another. Whereas some of these can be attributed to parties and suppliers having shared political outlooks, there are also cases where relationships operate on a personal level, with, for instance, suppliers being set up by former party staffers who then provide their former employers with their expertise. </w:t>
      </w:r>
    </w:p>
    <w:p w14:paraId="758CEC8F" w14:textId="77777777" w:rsidR="00B556DE" w:rsidRPr="00171C2D" w:rsidRDefault="00B556DE">
      <w:pPr>
        <w:jc w:val="both"/>
        <w:rPr>
          <w:rFonts w:ascii="Avenir" w:eastAsia="Avenir" w:hAnsi="Avenir" w:cs="Avenir"/>
          <w:lang w:val="en-GB"/>
        </w:rPr>
      </w:pPr>
    </w:p>
    <w:p w14:paraId="3A5C0DC1" w14:textId="77777777"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Taken together, these findings suggest that additional transparency information may be exceedingly valuable in helping us to learn more about the different types of electoral supplier and the characteristics of this landscape. </w:t>
      </w:r>
    </w:p>
    <w:p w14:paraId="78887CDA" w14:textId="77777777" w:rsidR="00B556DE" w:rsidRPr="00171C2D" w:rsidRDefault="00B556DE">
      <w:pPr>
        <w:jc w:val="both"/>
        <w:rPr>
          <w:rFonts w:ascii="Avenir" w:eastAsia="Avenir" w:hAnsi="Avenir" w:cs="Avenir"/>
          <w:lang w:val="en-GB"/>
        </w:rPr>
      </w:pPr>
    </w:p>
    <w:p w14:paraId="5799A53A" w14:textId="77777777" w:rsidR="00606999" w:rsidRDefault="00606999" w:rsidP="00606999">
      <w:pPr>
        <w:pStyle w:val="Heading2"/>
        <w:numPr>
          <w:ilvl w:val="0"/>
          <w:numId w:val="0"/>
        </w:numPr>
        <w:rPr>
          <w:lang w:val="en-GB"/>
        </w:rPr>
      </w:pPr>
      <w:bookmarkStart w:id="14" w:name="_Hlk98171176"/>
      <w:bookmarkEnd w:id="14"/>
      <w:r>
        <w:rPr>
          <w:lang w:val="en-GB"/>
        </w:rPr>
        <w:t>Chapter 6</w:t>
      </w:r>
    </w:p>
    <w:p w14:paraId="4E4D655A" w14:textId="5090A1BD" w:rsidR="00B556DE" w:rsidRPr="00171C2D" w:rsidRDefault="000D6BB0" w:rsidP="00606999">
      <w:pPr>
        <w:pStyle w:val="Heading2"/>
        <w:numPr>
          <w:ilvl w:val="0"/>
          <w:numId w:val="0"/>
        </w:numPr>
        <w:rPr>
          <w:lang w:val="en-GB"/>
        </w:rPr>
      </w:pPr>
      <w:r w:rsidRPr="00171C2D">
        <w:rPr>
          <w:lang w:val="en-GB"/>
        </w:rPr>
        <w:t>Conclusion</w:t>
      </w:r>
    </w:p>
    <w:p w14:paraId="0A35FBED" w14:textId="4BFE72B3" w:rsidR="00B556DE" w:rsidRPr="00171C2D" w:rsidRDefault="000D6BB0">
      <w:pPr>
        <w:jc w:val="both"/>
        <w:rPr>
          <w:rFonts w:ascii="Avenir" w:eastAsia="Avenir" w:hAnsi="Avenir" w:cs="Avenir"/>
          <w:lang w:val="en-GB"/>
        </w:rPr>
      </w:pPr>
      <w:r w:rsidRPr="00171C2D">
        <w:rPr>
          <w:rFonts w:ascii="Avenir" w:eastAsia="Avenir" w:hAnsi="Avenir" w:cs="Avenir"/>
          <w:lang w:val="en-GB"/>
        </w:rPr>
        <w:t>This report deepen</w:t>
      </w:r>
      <w:r w:rsidR="004D2B10" w:rsidRPr="00171C2D">
        <w:rPr>
          <w:rFonts w:ascii="Avenir" w:eastAsia="Avenir" w:hAnsi="Avenir" w:cs="Avenir"/>
          <w:lang w:val="en-GB"/>
        </w:rPr>
        <w:t>s</w:t>
      </w:r>
      <w:r w:rsidRPr="00171C2D">
        <w:rPr>
          <w:rFonts w:ascii="Avenir" w:eastAsia="Avenir" w:hAnsi="Avenir" w:cs="Avenir"/>
          <w:lang w:val="en-GB"/>
        </w:rPr>
        <w:t xml:space="preserve"> our understanding of the organizations supplying services to parties in election campaigns. Offering a case study of available transparency information in the UK, the research team reviewed the existing data made available by the UK Electoral Commission, providing new information about what can be learnt from supplier invoices. This offers a level of insight and detail previously unseen in the analysis of election campaigns worldwide. </w:t>
      </w:r>
    </w:p>
    <w:p w14:paraId="540E587C" w14:textId="77777777" w:rsidR="00B556DE" w:rsidRPr="00171C2D" w:rsidRDefault="00B556DE">
      <w:pPr>
        <w:jc w:val="both"/>
        <w:rPr>
          <w:rFonts w:ascii="Avenir" w:eastAsia="Avenir" w:hAnsi="Avenir" w:cs="Avenir"/>
          <w:lang w:val="en-GB"/>
        </w:rPr>
      </w:pPr>
    </w:p>
    <w:p w14:paraId="45657F63" w14:textId="613459CF"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The report has demonstrated </w:t>
      </w:r>
      <w:r w:rsidR="00CA22B7" w:rsidRPr="00171C2D">
        <w:rPr>
          <w:rFonts w:ascii="Avenir" w:eastAsia="Avenir" w:hAnsi="Avenir" w:cs="Avenir"/>
          <w:lang w:val="en-GB"/>
        </w:rPr>
        <w:t>several</w:t>
      </w:r>
      <w:r w:rsidRPr="00171C2D">
        <w:rPr>
          <w:rFonts w:ascii="Avenir" w:eastAsia="Avenir" w:hAnsi="Avenir" w:cs="Avenir"/>
          <w:lang w:val="en-GB"/>
        </w:rPr>
        <w:t xml:space="preserve"> shortcomings with the UK’s electoral transparency system, that is widely recognized as being </w:t>
      </w:r>
      <w:r w:rsidR="00CA22B7" w:rsidRPr="00171C2D">
        <w:rPr>
          <w:rFonts w:ascii="Avenir" w:eastAsia="Avenir" w:hAnsi="Avenir" w:cs="Avenir"/>
          <w:lang w:val="en-GB"/>
        </w:rPr>
        <w:t>world leading</w:t>
      </w:r>
      <w:r w:rsidRPr="00171C2D">
        <w:rPr>
          <w:rFonts w:ascii="Avenir" w:eastAsia="Avenir" w:hAnsi="Avenir" w:cs="Avenir"/>
          <w:lang w:val="en-GB"/>
        </w:rPr>
        <w:t xml:space="preserve">. </w:t>
      </w:r>
      <w:proofErr w:type="gramStart"/>
      <w:r w:rsidRPr="00171C2D">
        <w:rPr>
          <w:rFonts w:ascii="Avenir" w:eastAsia="Avenir" w:hAnsi="Avenir" w:cs="Avenir"/>
          <w:lang w:val="en-GB"/>
        </w:rPr>
        <w:t>In particular, it</w:t>
      </w:r>
      <w:proofErr w:type="gramEnd"/>
      <w:r w:rsidRPr="00171C2D">
        <w:rPr>
          <w:rFonts w:ascii="Avenir" w:eastAsia="Avenir" w:hAnsi="Avenir" w:cs="Avenir"/>
          <w:lang w:val="en-GB"/>
        </w:rPr>
        <w:t xml:space="preserve"> has shown that many types of campaign activity are not currently reflected in spending categories, and that different parties are not consistently coding the same activity under the same Electoral Commission heading. Moreover, it has shown that invoices themselves are often unreliable sources, with a significant proportion of invoices uninformative in terms of conveying the nature of supplier activity. Most worryingly, it is not possible to be certain how more than 1 in every 10 pounds was spent at the 2019 General Election. This amounts to at least </w:t>
      </w:r>
      <w:r w:rsidR="009014F3">
        <w:rPr>
          <w:rFonts w:ascii="Avenir" w:eastAsia="Avenir" w:hAnsi="Avenir" w:cs="Avenir"/>
          <w:lang w:val="en-GB"/>
        </w:rPr>
        <w:t>GBP </w:t>
      </w:r>
      <w:r w:rsidRPr="00171C2D">
        <w:rPr>
          <w:rFonts w:ascii="Avenir" w:eastAsia="Avenir" w:hAnsi="Avenir" w:cs="Avenir"/>
          <w:lang w:val="en-GB"/>
        </w:rPr>
        <w:t xml:space="preserve">6.6 million. Cumulatively, the report highlights the need to revisit and improve existing systems for transparent disclosure, but also to think about how these systems can be extended and improved. </w:t>
      </w:r>
    </w:p>
    <w:p w14:paraId="61D4D9D8" w14:textId="77777777" w:rsidR="00B556DE" w:rsidRPr="00171C2D" w:rsidRDefault="00B556DE">
      <w:pPr>
        <w:jc w:val="both"/>
        <w:rPr>
          <w:rFonts w:ascii="Avenir" w:eastAsia="Avenir" w:hAnsi="Avenir" w:cs="Avenir"/>
          <w:lang w:val="en-GB"/>
        </w:rPr>
      </w:pPr>
    </w:p>
    <w:p w14:paraId="3DB62E5A" w14:textId="77777777"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Throughout, the report has made several recommendations for the Electoral Commission in the UK. While there is a need for more comparative analysis to substantiate the relevance of the conclusions </w:t>
      </w:r>
      <w:r w:rsidRPr="00171C2D">
        <w:rPr>
          <w:rFonts w:ascii="Avenir" w:eastAsia="Avenir" w:hAnsi="Avenir" w:cs="Avenir"/>
          <w:lang w:val="en-GB"/>
        </w:rPr>
        <w:lastRenderedPageBreak/>
        <w:t>beyond the UK context, the findings are meant to have implications for EMBs internationally, political parties and the CSOs working within these regimes. In calling for standardized invoice templates, research-friendly archives and more detailed spending categories, this report seeks to establish best practice internationally. For countries with limited financial disclosure, this report suggests that there is a value in making invoices available, but that this should be done in a standardized format. Moreover, the report argues that there is a case for countries to adopt common approaches to transparency, with disclosure processes that would enable international comparison. Such efforts would make it easier to determine the degree to which single suppliers are working in multiple countries and whether there is an international industry supporting election campaigns.</w:t>
      </w:r>
    </w:p>
    <w:p w14:paraId="111D0857" w14:textId="77777777" w:rsidR="00B556DE" w:rsidRPr="00171C2D" w:rsidRDefault="00B556DE">
      <w:pPr>
        <w:jc w:val="both"/>
        <w:rPr>
          <w:rFonts w:ascii="Avenir" w:eastAsia="Avenir" w:hAnsi="Avenir" w:cs="Avenir"/>
          <w:lang w:val="en-GB"/>
        </w:rPr>
      </w:pPr>
    </w:p>
    <w:p w14:paraId="21D5BCB0" w14:textId="77777777"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Specifically for policymakers, regulators and CSOs, this report has sought to draw lessons for those aiming to promote transparency. The report suggests a mixed-methods approach, in which one relies on existing transparency processes, political party reports, external company databases, company websites and, where possible, personnel themselves. This will give a more complete, </w:t>
      </w:r>
      <w:proofErr w:type="gramStart"/>
      <w:r w:rsidRPr="00171C2D">
        <w:rPr>
          <w:rFonts w:ascii="Avenir" w:eastAsia="Avenir" w:hAnsi="Avenir" w:cs="Avenir"/>
          <w:lang w:val="en-GB"/>
        </w:rPr>
        <w:t>nuanced</w:t>
      </w:r>
      <w:proofErr w:type="gramEnd"/>
      <w:r w:rsidRPr="00171C2D">
        <w:rPr>
          <w:rFonts w:ascii="Avenir" w:eastAsia="Avenir" w:hAnsi="Avenir" w:cs="Avenir"/>
          <w:lang w:val="en-GB"/>
        </w:rPr>
        <w:t xml:space="preserve"> and accurate picture of the activities of the industry, and wider influence ecosystem, working with political parties. This approach can also support the progression of definitions in new media and influence techniques, including data-driven tools and social media, alongside those which are already robustly set out and still important, such as traditional press and advertising. </w:t>
      </w:r>
    </w:p>
    <w:p w14:paraId="1FB45F91" w14:textId="77777777" w:rsidR="00B556DE" w:rsidRPr="00171C2D" w:rsidRDefault="00B556DE">
      <w:pPr>
        <w:jc w:val="both"/>
        <w:rPr>
          <w:rFonts w:ascii="Avenir" w:eastAsia="Avenir" w:hAnsi="Avenir" w:cs="Avenir"/>
          <w:lang w:val="en-GB"/>
        </w:rPr>
      </w:pPr>
    </w:p>
    <w:p w14:paraId="65C2F6EB" w14:textId="1A9062AA"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Elections in the 21st century are ever </w:t>
      </w:r>
      <w:r w:rsidR="00CA22B7" w:rsidRPr="00171C2D">
        <w:rPr>
          <w:rFonts w:ascii="Avenir" w:eastAsia="Avenir" w:hAnsi="Avenir" w:cs="Avenir"/>
          <w:lang w:val="en-GB"/>
        </w:rPr>
        <w:t>changing and</w:t>
      </w:r>
      <w:r w:rsidRPr="00171C2D">
        <w:rPr>
          <w:rFonts w:ascii="Avenir" w:eastAsia="Avenir" w:hAnsi="Avenir" w:cs="Avenir"/>
          <w:lang w:val="en-GB"/>
        </w:rPr>
        <w:t xml:space="preserve"> exist on shifting terrain. However, it is only with a better understanding of this terrain that it is possible to map what processes and influences are problematic for the continued functioning of the democratic project.</w:t>
      </w:r>
      <w:r w:rsidR="009014F3">
        <w:rPr>
          <w:rFonts w:ascii="Avenir" w:eastAsia="Avenir" w:hAnsi="Avenir" w:cs="Avenir"/>
          <w:lang w:val="en-GB"/>
        </w:rPr>
        <w:t xml:space="preserve"> </w:t>
      </w:r>
    </w:p>
    <w:p w14:paraId="03878CE3" w14:textId="77777777" w:rsidR="00B556DE" w:rsidRPr="00171C2D" w:rsidRDefault="00B556DE">
      <w:pPr>
        <w:jc w:val="both"/>
        <w:rPr>
          <w:rFonts w:ascii="Avenir" w:eastAsia="Avenir" w:hAnsi="Avenir" w:cs="Avenir"/>
          <w:u w:val="single"/>
          <w:lang w:val="en-GB"/>
        </w:rPr>
      </w:pPr>
    </w:p>
    <w:p w14:paraId="02348915" w14:textId="77777777" w:rsidR="00B556DE" w:rsidRPr="00171C2D" w:rsidRDefault="000D6BB0">
      <w:pPr>
        <w:pStyle w:val="Heading3"/>
        <w:numPr>
          <w:ilvl w:val="0"/>
          <w:numId w:val="0"/>
        </w:numPr>
        <w:rPr>
          <w:color w:val="auto"/>
          <w:lang w:val="en-GB"/>
        </w:rPr>
      </w:pPr>
      <w:r w:rsidRPr="00171C2D">
        <w:rPr>
          <w:color w:val="auto"/>
          <w:lang w:val="en-GB"/>
        </w:rPr>
        <w:t>6.1 Summary of main recommendations and lessons learnt from the UK case study</w:t>
      </w:r>
    </w:p>
    <w:p w14:paraId="0242A7F5" w14:textId="333FC386" w:rsidR="00B556DE" w:rsidRPr="00171C2D" w:rsidRDefault="000D6BB0">
      <w:pPr>
        <w:jc w:val="both"/>
        <w:rPr>
          <w:rFonts w:ascii="Avenir" w:eastAsia="Avenir" w:hAnsi="Avenir" w:cs="Avenir"/>
          <w:highlight w:val="white"/>
          <w:lang w:val="en-GB"/>
        </w:rPr>
      </w:pPr>
      <w:r w:rsidRPr="00171C2D">
        <w:rPr>
          <w:rFonts w:ascii="Avenir" w:eastAsia="Avenir" w:hAnsi="Avenir" w:cs="Avenir"/>
          <w:highlight w:val="white"/>
          <w:lang w:val="en-GB"/>
        </w:rPr>
        <w:t>For the UK Electoral Commission:</w:t>
      </w:r>
    </w:p>
    <w:p w14:paraId="523210E9" w14:textId="77777777" w:rsidR="00B556DE" w:rsidRPr="00171C2D" w:rsidRDefault="000D6BB0">
      <w:pPr>
        <w:numPr>
          <w:ilvl w:val="0"/>
          <w:numId w:val="4"/>
        </w:numPr>
        <w:jc w:val="both"/>
        <w:rPr>
          <w:rFonts w:ascii="Avenir" w:eastAsia="Avenir" w:hAnsi="Avenir" w:cs="Avenir"/>
          <w:highlight w:val="white"/>
          <w:lang w:val="en-GB"/>
        </w:rPr>
      </w:pPr>
      <w:r w:rsidRPr="00171C2D">
        <w:rPr>
          <w:rFonts w:ascii="Avenir" w:eastAsia="Avenir" w:hAnsi="Avenir" w:cs="Avenir"/>
          <w:highlight w:val="white"/>
          <w:lang w:val="en-GB"/>
        </w:rPr>
        <w:t>Implement a system of publicly accessible categorized spending reports and invoices, ideally standardized across countries to enable comparability.</w:t>
      </w:r>
    </w:p>
    <w:p w14:paraId="00011520" w14:textId="77777777" w:rsidR="00B556DE" w:rsidRPr="00171C2D" w:rsidRDefault="000D6BB0">
      <w:pPr>
        <w:numPr>
          <w:ilvl w:val="0"/>
          <w:numId w:val="51"/>
        </w:numPr>
        <w:jc w:val="both"/>
        <w:rPr>
          <w:rFonts w:ascii="Avenir" w:eastAsia="Avenir" w:hAnsi="Avenir" w:cs="Avenir"/>
          <w:highlight w:val="white"/>
          <w:lang w:val="en-GB"/>
        </w:rPr>
      </w:pPr>
      <w:r w:rsidRPr="00171C2D">
        <w:rPr>
          <w:rFonts w:ascii="Avenir" w:eastAsia="Avenir" w:hAnsi="Avenir" w:cs="Avenir"/>
          <w:highlight w:val="white"/>
          <w:lang w:val="en-GB"/>
        </w:rPr>
        <w:t>Create a standard template for invoices for election expenses to ensure consistency in reporting and formatting.</w:t>
      </w:r>
    </w:p>
    <w:p w14:paraId="00DA000C" w14:textId="77777777" w:rsidR="00B556DE" w:rsidRPr="00171C2D" w:rsidRDefault="000D6BB0">
      <w:pPr>
        <w:numPr>
          <w:ilvl w:val="0"/>
          <w:numId w:val="51"/>
        </w:numPr>
        <w:jc w:val="both"/>
        <w:rPr>
          <w:rFonts w:ascii="Avenir" w:eastAsia="Avenir" w:hAnsi="Avenir" w:cs="Avenir"/>
          <w:highlight w:val="white"/>
          <w:lang w:val="en-GB"/>
        </w:rPr>
      </w:pPr>
      <w:r w:rsidRPr="00171C2D">
        <w:rPr>
          <w:rFonts w:ascii="Avenir" w:eastAsia="Avenir" w:hAnsi="Avenir" w:cs="Avenir"/>
          <w:highlight w:val="white"/>
          <w:lang w:val="en-GB"/>
        </w:rPr>
        <w:t xml:space="preserve">Produce standard guidance for the uploading of invoice images to ensure that all images are clear and consistently formatted. </w:t>
      </w:r>
    </w:p>
    <w:p w14:paraId="32165632" w14:textId="77777777" w:rsidR="00B556DE" w:rsidRPr="00171C2D" w:rsidRDefault="000D6BB0">
      <w:pPr>
        <w:numPr>
          <w:ilvl w:val="0"/>
          <w:numId w:val="51"/>
        </w:numPr>
        <w:jc w:val="both"/>
        <w:rPr>
          <w:rFonts w:ascii="Avenir" w:eastAsia="Avenir" w:hAnsi="Avenir" w:cs="Avenir"/>
          <w:highlight w:val="white"/>
          <w:lang w:val="en-GB"/>
        </w:rPr>
      </w:pPr>
      <w:r w:rsidRPr="00171C2D">
        <w:rPr>
          <w:rFonts w:ascii="Avenir" w:eastAsia="Avenir" w:hAnsi="Avenir" w:cs="Avenir"/>
          <w:highlight w:val="white"/>
          <w:lang w:val="en-GB"/>
        </w:rPr>
        <w:t xml:space="preserve">Update existing guidance for parties on the detail required for spending returns, to ensure that specific items of expenditure are included. </w:t>
      </w:r>
    </w:p>
    <w:p w14:paraId="6E0A7E41" w14:textId="77777777" w:rsidR="00B556DE" w:rsidRPr="00171C2D" w:rsidRDefault="000D6BB0">
      <w:pPr>
        <w:numPr>
          <w:ilvl w:val="0"/>
          <w:numId w:val="50"/>
        </w:numPr>
        <w:jc w:val="both"/>
        <w:rPr>
          <w:rFonts w:ascii="Avenir" w:eastAsia="Avenir" w:hAnsi="Avenir" w:cs="Avenir"/>
          <w:highlight w:val="white"/>
          <w:lang w:val="en-GB"/>
        </w:rPr>
      </w:pPr>
      <w:r w:rsidRPr="00171C2D">
        <w:rPr>
          <w:rFonts w:ascii="Avenir" w:eastAsia="Avenir" w:hAnsi="Avenir" w:cs="Avenir"/>
          <w:highlight w:val="white"/>
          <w:lang w:val="en-GB"/>
        </w:rPr>
        <w:t xml:space="preserve">Consider having a greater number of categories provided to political parties, to </w:t>
      </w:r>
      <w:proofErr w:type="gramStart"/>
      <w:r w:rsidRPr="00171C2D">
        <w:rPr>
          <w:rFonts w:ascii="Avenir" w:eastAsia="Avenir" w:hAnsi="Avenir" w:cs="Avenir"/>
          <w:highlight w:val="white"/>
          <w:lang w:val="en-GB"/>
        </w:rPr>
        <w:t>more accurately reflect the range of modern campaign activity</w:t>
      </w:r>
      <w:proofErr w:type="gramEnd"/>
      <w:r w:rsidRPr="00171C2D">
        <w:rPr>
          <w:rFonts w:ascii="Avenir" w:eastAsia="Avenir" w:hAnsi="Avenir" w:cs="Avenir"/>
          <w:highlight w:val="white"/>
          <w:lang w:val="en-GB"/>
        </w:rPr>
        <w:t>. These categories should be reviewed regularly in consultation with parties.</w:t>
      </w:r>
    </w:p>
    <w:p w14:paraId="764782B5" w14:textId="77777777" w:rsidR="00B556DE" w:rsidRPr="00171C2D" w:rsidRDefault="000D6BB0">
      <w:pPr>
        <w:numPr>
          <w:ilvl w:val="0"/>
          <w:numId w:val="50"/>
        </w:numPr>
        <w:jc w:val="both"/>
        <w:rPr>
          <w:rFonts w:ascii="Avenir" w:eastAsia="Avenir" w:hAnsi="Avenir" w:cs="Avenir"/>
          <w:highlight w:val="white"/>
          <w:lang w:val="en-GB"/>
        </w:rPr>
      </w:pPr>
      <w:r w:rsidRPr="00171C2D">
        <w:rPr>
          <w:rFonts w:ascii="Avenir" w:eastAsia="Avenir" w:hAnsi="Avenir" w:cs="Avenir"/>
          <w:highlight w:val="white"/>
          <w:lang w:val="en-GB"/>
        </w:rPr>
        <w:t>Provide clearer guidance and examples of which activities fall under which categories, specifically in relation to technology and data infrastructure.</w:t>
      </w:r>
    </w:p>
    <w:p w14:paraId="11E01BF6" w14:textId="77777777" w:rsidR="00B556DE" w:rsidRPr="00171C2D" w:rsidRDefault="000D6BB0">
      <w:pPr>
        <w:numPr>
          <w:ilvl w:val="0"/>
          <w:numId w:val="41"/>
        </w:numPr>
        <w:jc w:val="both"/>
        <w:rPr>
          <w:rFonts w:ascii="Avenir" w:eastAsia="Avenir" w:hAnsi="Avenir" w:cs="Avenir"/>
          <w:highlight w:val="white"/>
          <w:lang w:val="en-GB"/>
        </w:rPr>
      </w:pPr>
      <w:r w:rsidRPr="00171C2D">
        <w:rPr>
          <w:rFonts w:ascii="Avenir" w:eastAsia="Avenir" w:hAnsi="Avenir" w:cs="Avenir"/>
          <w:highlight w:val="white"/>
          <w:lang w:val="en-GB"/>
        </w:rPr>
        <w:t xml:space="preserve">Configure transparency databases to ensure that researchers can easily access and analyse invoices, particularly looking to enable mass download and text extraction. </w:t>
      </w:r>
    </w:p>
    <w:p w14:paraId="7BA339EB" w14:textId="77777777" w:rsidR="00B556DE" w:rsidRPr="00171C2D" w:rsidRDefault="000D6BB0">
      <w:pPr>
        <w:numPr>
          <w:ilvl w:val="0"/>
          <w:numId w:val="4"/>
        </w:numPr>
        <w:jc w:val="both"/>
        <w:rPr>
          <w:rFonts w:ascii="Avenir" w:eastAsia="Avenir" w:hAnsi="Avenir" w:cs="Avenir"/>
          <w:highlight w:val="white"/>
          <w:lang w:val="en-GB"/>
        </w:rPr>
      </w:pPr>
      <w:r w:rsidRPr="00171C2D">
        <w:rPr>
          <w:rFonts w:ascii="Avenir" w:eastAsia="Avenir" w:hAnsi="Avenir" w:cs="Avenir"/>
          <w:highlight w:val="white"/>
          <w:lang w:val="en-GB"/>
        </w:rPr>
        <w:lastRenderedPageBreak/>
        <w:t xml:space="preserve">Create standardized records of ‘suppliers’ in election campaigns to ensure consistency in reporting and to aid future research. </w:t>
      </w:r>
    </w:p>
    <w:p w14:paraId="3F49F25C" w14:textId="77777777" w:rsidR="00B556DE" w:rsidRPr="00171C2D" w:rsidRDefault="000D6BB0">
      <w:pPr>
        <w:numPr>
          <w:ilvl w:val="0"/>
          <w:numId w:val="41"/>
        </w:numPr>
        <w:jc w:val="both"/>
        <w:rPr>
          <w:rFonts w:ascii="Avenir" w:eastAsia="Avenir" w:hAnsi="Avenir" w:cs="Avenir"/>
          <w:highlight w:val="white"/>
          <w:lang w:val="en-GB"/>
        </w:rPr>
      </w:pPr>
      <w:r w:rsidRPr="00171C2D">
        <w:rPr>
          <w:rFonts w:ascii="Avenir" w:eastAsia="Avenir" w:hAnsi="Avenir" w:cs="Avenir"/>
          <w:highlight w:val="white"/>
          <w:lang w:val="en-GB"/>
        </w:rPr>
        <w:t xml:space="preserve">Extend existing transparency by linking supplier information to other sources of publicly available information (such as, in the UK, Companies House records) and supplier websites to facilitate future research. </w:t>
      </w:r>
    </w:p>
    <w:p w14:paraId="495D6A21" w14:textId="3C5D1F81" w:rsidR="00B556DE" w:rsidRPr="00171C2D" w:rsidRDefault="000D6BB0" w:rsidP="009637B9">
      <w:pPr>
        <w:numPr>
          <w:ilvl w:val="0"/>
          <w:numId w:val="31"/>
        </w:numPr>
        <w:jc w:val="both"/>
        <w:rPr>
          <w:rFonts w:ascii="Avenir" w:eastAsia="Avenir" w:hAnsi="Avenir" w:cs="Avenir"/>
          <w:highlight w:val="white"/>
          <w:lang w:val="en-GB"/>
        </w:rPr>
      </w:pPr>
      <w:r w:rsidRPr="00171C2D">
        <w:rPr>
          <w:rFonts w:ascii="Avenir" w:eastAsia="Avenir" w:hAnsi="Avenir" w:cs="Avenir"/>
          <w:highlight w:val="white"/>
          <w:lang w:val="en-GB"/>
        </w:rPr>
        <w:t xml:space="preserve">Establish clear and transparent processes for reporting all cases of suspected financial reporting malpractice examined, including those that are not eventually subject to a full investigation. This should involve reporting outcomes at each stage and declaring the criteria used to determine the action taken. </w:t>
      </w:r>
    </w:p>
    <w:p w14:paraId="3D9321DA" w14:textId="77777777" w:rsidR="00B556DE" w:rsidRPr="00171C2D" w:rsidRDefault="000D6BB0">
      <w:pPr>
        <w:numPr>
          <w:ilvl w:val="0"/>
          <w:numId w:val="46"/>
        </w:numPr>
        <w:jc w:val="both"/>
        <w:rPr>
          <w:rFonts w:ascii="Avenir" w:eastAsia="Avenir" w:hAnsi="Avenir" w:cs="Avenir"/>
          <w:highlight w:val="white"/>
          <w:lang w:val="en-GB"/>
        </w:rPr>
      </w:pPr>
      <w:r w:rsidRPr="00171C2D">
        <w:rPr>
          <w:rFonts w:ascii="Avenir" w:eastAsia="Avenir" w:hAnsi="Avenir" w:cs="Avenir"/>
          <w:highlight w:val="white"/>
          <w:lang w:val="en-GB"/>
        </w:rPr>
        <w:t xml:space="preserve">Explore possibilities for expanding the transparency regime to require not just political parties, but also suppliers to complete returns detailing commercial activity within the election period. </w:t>
      </w:r>
    </w:p>
    <w:p w14:paraId="504EE670" w14:textId="77777777" w:rsidR="00B556DE" w:rsidRPr="00171C2D" w:rsidRDefault="000D6BB0">
      <w:pPr>
        <w:numPr>
          <w:ilvl w:val="0"/>
          <w:numId w:val="46"/>
        </w:numPr>
        <w:jc w:val="both"/>
        <w:rPr>
          <w:rFonts w:ascii="Avenir" w:eastAsia="Avenir" w:hAnsi="Avenir" w:cs="Avenir"/>
          <w:highlight w:val="white"/>
          <w:lang w:val="en-GB"/>
        </w:rPr>
      </w:pPr>
      <w:r w:rsidRPr="00171C2D">
        <w:rPr>
          <w:rFonts w:ascii="Avenir" w:eastAsia="Avenir" w:hAnsi="Avenir" w:cs="Avenir"/>
          <w:highlight w:val="white"/>
          <w:lang w:val="en-GB"/>
        </w:rPr>
        <w:t>Prepare their investigations with an understanding of the potential dominance of social media advertising, while also continuing to rely on traditional understandings of advertising and press as established areas of resource within political campaigns.</w:t>
      </w:r>
    </w:p>
    <w:p w14:paraId="7DEB2941" w14:textId="77777777" w:rsidR="00B556DE" w:rsidRPr="00171C2D" w:rsidRDefault="00B556DE">
      <w:pPr>
        <w:jc w:val="both"/>
        <w:rPr>
          <w:rFonts w:ascii="Avenir" w:eastAsia="Avenir" w:hAnsi="Avenir" w:cs="Avenir"/>
          <w:b/>
          <w:highlight w:val="white"/>
          <w:lang w:val="en-GB"/>
        </w:rPr>
      </w:pPr>
    </w:p>
    <w:p w14:paraId="419AA942" w14:textId="10B0DE9A" w:rsidR="00B556DE" w:rsidRPr="00171C2D" w:rsidRDefault="000D6BB0">
      <w:pPr>
        <w:jc w:val="both"/>
        <w:rPr>
          <w:rFonts w:ascii="Avenir" w:eastAsia="Avenir" w:hAnsi="Avenir" w:cs="Avenir"/>
          <w:highlight w:val="white"/>
          <w:lang w:val="en-GB"/>
        </w:rPr>
      </w:pPr>
      <w:r w:rsidRPr="00171C2D">
        <w:rPr>
          <w:rFonts w:ascii="Avenir" w:eastAsia="Avenir" w:hAnsi="Avenir" w:cs="Avenir"/>
          <w:highlight w:val="white"/>
          <w:lang w:val="en-GB"/>
        </w:rPr>
        <w:t xml:space="preserve">For </w:t>
      </w:r>
      <w:r w:rsidR="00606999">
        <w:rPr>
          <w:rFonts w:ascii="Avenir" w:eastAsia="Avenir" w:hAnsi="Avenir" w:cs="Avenir"/>
          <w:highlight w:val="white"/>
          <w:lang w:val="en-GB"/>
        </w:rPr>
        <w:t>CSOs</w:t>
      </w:r>
    </w:p>
    <w:p w14:paraId="655C328C" w14:textId="77777777" w:rsidR="00B556DE" w:rsidRPr="00171C2D" w:rsidRDefault="000D6BB0">
      <w:pPr>
        <w:numPr>
          <w:ilvl w:val="0"/>
          <w:numId w:val="9"/>
        </w:numPr>
        <w:jc w:val="both"/>
        <w:rPr>
          <w:rFonts w:ascii="Avenir" w:eastAsia="Avenir" w:hAnsi="Avenir" w:cs="Avenir"/>
          <w:highlight w:val="white"/>
          <w:lang w:val="en-GB"/>
        </w:rPr>
      </w:pPr>
      <w:r w:rsidRPr="00171C2D">
        <w:rPr>
          <w:rFonts w:ascii="Avenir" w:eastAsia="Avenir" w:hAnsi="Avenir" w:cs="Avenir"/>
          <w:highlight w:val="white"/>
          <w:lang w:val="en-GB"/>
        </w:rPr>
        <w:t>Utilize existing transparency returns made available by government and EMBs to scrutinize electoral practices, highlight concerns and make complaints to EMBs.</w:t>
      </w:r>
    </w:p>
    <w:p w14:paraId="75920D02" w14:textId="77777777" w:rsidR="00B556DE" w:rsidRPr="00171C2D" w:rsidRDefault="000D6BB0">
      <w:pPr>
        <w:numPr>
          <w:ilvl w:val="0"/>
          <w:numId w:val="9"/>
        </w:numPr>
        <w:jc w:val="both"/>
        <w:rPr>
          <w:rFonts w:ascii="Avenir" w:eastAsia="Avenir" w:hAnsi="Avenir" w:cs="Avenir"/>
          <w:highlight w:val="white"/>
          <w:lang w:val="en-GB"/>
        </w:rPr>
      </w:pPr>
      <w:r w:rsidRPr="00171C2D">
        <w:rPr>
          <w:rFonts w:ascii="Avenir" w:eastAsia="Avenir" w:hAnsi="Avenir" w:cs="Avenir"/>
          <w:highlight w:val="white"/>
          <w:lang w:val="en-GB"/>
        </w:rPr>
        <w:t>When campaigning to promote increased transparency, catalogue the types of work that suppliers perform by studying invoices and, where existing declaration categories are seen to inadequately capture campaign activity, CSOs should press for new categories to be adopted as standard.</w:t>
      </w:r>
    </w:p>
    <w:p w14:paraId="3D1F7DF7" w14:textId="77777777" w:rsidR="00B556DE" w:rsidRPr="00171C2D" w:rsidRDefault="000D6BB0" w:rsidP="00CA22B7">
      <w:pPr>
        <w:numPr>
          <w:ilvl w:val="0"/>
          <w:numId w:val="9"/>
        </w:numPr>
        <w:jc w:val="both"/>
        <w:rPr>
          <w:rFonts w:ascii="Avenir" w:eastAsia="Avenir" w:hAnsi="Avenir" w:cs="Avenir"/>
          <w:lang w:val="en-GB"/>
        </w:rPr>
      </w:pPr>
      <w:r w:rsidRPr="00171C2D">
        <w:rPr>
          <w:rFonts w:ascii="Avenir" w:eastAsia="Avenir" w:hAnsi="Avenir" w:cs="Avenir"/>
          <w:lang w:val="en-GB"/>
        </w:rPr>
        <w:t xml:space="preserve">Monitor the practices of monopoly suppliers to ensure that pricing and access are not altered in ways that prevent the use of </w:t>
      </w:r>
      <w:proofErr w:type="gramStart"/>
      <w:r w:rsidRPr="00171C2D">
        <w:rPr>
          <w:rFonts w:ascii="Avenir" w:eastAsia="Avenir" w:hAnsi="Avenir" w:cs="Avenir"/>
          <w:lang w:val="en-GB"/>
        </w:rPr>
        <w:t>services, and</w:t>
      </w:r>
      <w:proofErr w:type="gramEnd"/>
      <w:r w:rsidRPr="00171C2D">
        <w:rPr>
          <w:rFonts w:ascii="Avenir" w:eastAsia="Avenir" w:hAnsi="Avenir" w:cs="Avenir"/>
          <w:lang w:val="en-GB"/>
        </w:rPr>
        <w:t xml:space="preserve"> raise concerns with Electoral Monitoring bodies. </w:t>
      </w:r>
    </w:p>
    <w:p w14:paraId="644692BE" w14:textId="77777777" w:rsidR="00B556DE" w:rsidRPr="00171C2D" w:rsidRDefault="000D6BB0">
      <w:pPr>
        <w:numPr>
          <w:ilvl w:val="0"/>
          <w:numId w:val="9"/>
        </w:numPr>
        <w:jc w:val="both"/>
        <w:rPr>
          <w:rFonts w:ascii="Avenir" w:eastAsia="Avenir" w:hAnsi="Avenir" w:cs="Avenir"/>
          <w:lang w:val="en-GB"/>
        </w:rPr>
      </w:pPr>
      <w:r w:rsidRPr="00171C2D">
        <w:rPr>
          <w:rFonts w:ascii="Avenir" w:eastAsia="Avenir" w:hAnsi="Avenir" w:cs="Avenir"/>
          <w:lang w:val="en-GB"/>
        </w:rPr>
        <w:t xml:space="preserve">When investigating elections that have already taken place, rely on </w:t>
      </w:r>
      <w:proofErr w:type="gramStart"/>
      <w:r w:rsidRPr="00171C2D">
        <w:rPr>
          <w:rFonts w:ascii="Avenir" w:eastAsia="Avenir" w:hAnsi="Avenir" w:cs="Avenir"/>
          <w:lang w:val="en-GB"/>
        </w:rPr>
        <w:t>mixed-method</w:t>
      </w:r>
      <w:proofErr w:type="gramEnd"/>
      <w:r w:rsidRPr="00171C2D">
        <w:rPr>
          <w:rFonts w:ascii="Avenir" w:eastAsia="Avenir" w:hAnsi="Avenir" w:cs="Avenir"/>
          <w:lang w:val="en-GB"/>
        </w:rPr>
        <w:t xml:space="preserve"> approaches to understand the full spectrum of work taking place. These sources should include company databases, invoice traces, websites of the suppliers, and interviews with industry professionals.</w:t>
      </w:r>
    </w:p>
    <w:p w14:paraId="60CE4217" w14:textId="51D478D7" w:rsidR="00B556DE" w:rsidRPr="00171C2D" w:rsidRDefault="000D6BB0">
      <w:pPr>
        <w:numPr>
          <w:ilvl w:val="0"/>
          <w:numId w:val="9"/>
        </w:numPr>
        <w:jc w:val="both"/>
        <w:rPr>
          <w:rFonts w:ascii="Avenir" w:eastAsia="Avenir" w:hAnsi="Avenir" w:cs="Avenir"/>
          <w:highlight w:val="white"/>
          <w:lang w:val="en-GB"/>
        </w:rPr>
      </w:pPr>
      <w:r w:rsidRPr="00171C2D">
        <w:rPr>
          <w:rFonts w:ascii="Avenir" w:eastAsia="Avenir" w:hAnsi="Avenir" w:cs="Avenir"/>
          <w:highlight w:val="white"/>
          <w:lang w:val="en-GB"/>
        </w:rPr>
        <w:t xml:space="preserve">When conducting work to increase transparency and accountability of political parties, extend the </w:t>
      </w:r>
      <w:r w:rsidR="00CA22B7" w:rsidRPr="00171C2D">
        <w:rPr>
          <w:rFonts w:ascii="Avenir" w:eastAsia="Avenir" w:hAnsi="Avenir" w:cs="Avenir"/>
          <w:highlight w:val="white"/>
          <w:lang w:val="en-GB"/>
        </w:rPr>
        <w:t>period</w:t>
      </w:r>
      <w:r w:rsidRPr="00171C2D">
        <w:rPr>
          <w:rFonts w:ascii="Avenir" w:eastAsia="Avenir" w:hAnsi="Avenir" w:cs="Avenir"/>
          <w:highlight w:val="white"/>
          <w:lang w:val="en-GB"/>
        </w:rPr>
        <w:t xml:space="preserve"> in which CSOs’ research takes place, to consider the substantial work of campaigns and suppliers outside election periods.</w:t>
      </w:r>
    </w:p>
    <w:p w14:paraId="052FC439" w14:textId="77777777" w:rsidR="00B556DE" w:rsidRPr="00171C2D" w:rsidRDefault="00B556DE">
      <w:pPr>
        <w:jc w:val="both"/>
        <w:rPr>
          <w:rFonts w:ascii="Avenir" w:eastAsia="Avenir" w:hAnsi="Avenir" w:cs="Avenir"/>
          <w:highlight w:val="white"/>
          <w:lang w:val="en-GB"/>
        </w:rPr>
      </w:pPr>
    </w:p>
    <w:p w14:paraId="14877B54" w14:textId="77777777" w:rsidR="00B556DE" w:rsidRPr="00171C2D" w:rsidRDefault="000D6BB0">
      <w:pPr>
        <w:jc w:val="both"/>
        <w:rPr>
          <w:rFonts w:ascii="Avenir" w:eastAsia="Avenir" w:hAnsi="Avenir" w:cs="Avenir"/>
          <w:highlight w:val="white"/>
          <w:lang w:val="en-GB"/>
        </w:rPr>
      </w:pPr>
      <w:r w:rsidRPr="00171C2D">
        <w:rPr>
          <w:rFonts w:ascii="Avenir" w:eastAsia="Avenir" w:hAnsi="Avenir" w:cs="Avenir"/>
          <w:highlight w:val="white"/>
          <w:lang w:val="en-GB"/>
        </w:rPr>
        <w:t>For political parties:</w:t>
      </w:r>
    </w:p>
    <w:p w14:paraId="2C92F6F8" w14:textId="77777777" w:rsidR="00B556DE" w:rsidRPr="00171C2D" w:rsidRDefault="000D6BB0">
      <w:pPr>
        <w:numPr>
          <w:ilvl w:val="0"/>
          <w:numId w:val="9"/>
        </w:numPr>
        <w:jc w:val="both"/>
        <w:rPr>
          <w:rFonts w:ascii="Avenir" w:eastAsia="Avenir" w:hAnsi="Avenir" w:cs="Avenir"/>
          <w:highlight w:val="white"/>
          <w:lang w:val="en-GB"/>
        </w:rPr>
      </w:pPr>
      <w:r w:rsidRPr="00171C2D">
        <w:rPr>
          <w:rFonts w:ascii="Avenir" w:eastAsia="Avenir" w:hAnsi="Avenir" w:cs="Avenir"/>
          <w:highlight w:val="white"/>
          <w:lang w:val="en-GB"/>
        </w:rPr>
        <w:t xml:space="preserve">Record more precisely what roles suppliers are performing to allow more accurate classification of campaign activity. </w:t>
      </w:r>
    </w:p>
    <w:p w14:paraId="71226741" w14:textId="77777777" w:rsidR="00B556DE" w:rsidRPr="00171C2D" w:rsidRDefault="000D6BB0">
      <w:pPr>
        <w:numPr>
          <w:ilvl w:val="0"/>
          <w:numId w:val="9"/>
        </w:numPr>
        <w:jc w:val="both"/>
        <w:rPr>
          <w:rFonts w:ascii="Avenir" w:eastAsia="Avenir" w:hAnsi="Avenir" w:cs="Avenir"/>
          <w:highlight w:val="white"/>
          <w:lang w:val="en-GB"/>
        </w:rPr>
      </w:pPr>
      <w:r w:rsidRPr="00171C2D">
        <w:rPr>
          <w:rFonts w:ascii="Avenir" w:eastAsia="Avenir" w:hAnsi="Avenir" w:cs="Avenir"/>
          <w:highlight w:val="white"/>
          <w:lang w:val="en-GB"/>
        </w:rPr>
        <w:t xml:space="preserve">Take ownership in establishing best practice to minimize unclear invoice returns. </w:t>
      </w:r>
    </w:p>
    <w:p w14:paraId="6249112D" w14:textId="77777777" w:rsidR="00B556DE" w:rsidRPr="00171C2D" w:rsidRDefault="000D6BB0">
      <w:pPr>
        <w:numPr>
          <w:ilvl w:val="0"/>
          <w:numId w:val="9"/>
        </w:numPr>
        <w:jc w:val="both"/>
        <w:rPr>
          <w:rFonts w:ascii="Avenir" w:eastAsia="Avenir" w:hAnsi="Avenir" w:cs="Avenir"/>
          <w:highlight w:val="white"/>
          <w:lang w:val="en-GB"/>
        </w:rPr>
      </w:pPr>
      <w:r w:rsidRPr="00171C2D">
        <w:rPr>
          <w:rFonts w:ascii="Avenir" w:eastAsia="Avenir" w:hAnsi="Avenir" w:cs="Avenir"/>
          <w:highlight w:val="white"/>
          <w:lang w:val="en-GB"/>
        </w:rPr>
        <w:t>Where legislation does not require it, political parties should provide standardized invoices to suppliers.</w:t>
      </w:r>
    </w:p>
    <w:p w14:paraId="2787DEC6" w14:textId="77777777" w:rsidR="00B556DE" w:rsidRPr="00171C2D" w:rsidRDefault="000D6BB0">
      <w:pPr>
        <w:numPr>
          <w:ilvl w:val="0"/>
          <w:numId w:val="9"/>
        </w:numPr>
        <w:jc w:val="both"/>
        <w:rPr>
          <w:rFonts w:ascii="Avenir" w:eastAsia="Avenir" w:hAnsi="Avenir" w:cs="Avenir"/>
          <w:highlight w:val="white"/>
          <w:lang w:val="en-GB"/>
        </w:rPr>
      </w:pPr>
      <w:r w:rsidRPr="00171C2D">
        <w:rPr>
          <w:rFonts w:ascii="Avenir" w:eastAsia="Avenir" w:hAnsi="Avenir" w:cs="Avenir"/>
          <w:highlight w:val="white"/>
          <w:lang w:val="en-GB"/>
        </w:rPr>
        <w:t>On agreement of provision of service, political parties should make clear the level of detail that suppliers should state on invoices about the service they perform.</w:t>
      </w:r>
    </w:p>
    <w:p w14:paraId="512DA767" w14:textId="77777777" w:rsidR="00847142" w:rsidRPr="00847142" w:rsidRDefault="000D6BB0">
      <w:pPr>
        <w:numPr>
          <w:ilvl w:val="0"/>
          <w:numId w:val="9"/>
        </w:numPr>
        <w:jc w:val="both"/>
        <w:rPr>
          <w:rFonts w:ascii="Avenir" w:eastAsia="Avenir" w:hAnsi="Avenir" w:cs="Avenir"/>
          <w:highlight w:val="white"/>
          <w:lang w:val="en-GB"/>
        </w:rPr>
      </w:pPr>
      <w:r w:rsidRPr="00171C2D">
        <w:rPr>
          <w:rFonts w:ascii="Avenir" w:eastAsia="Avenir" w:hAnsi="Avenir" w:cs="Avenir"/>
          <w:highlight w:val="white"/>
          <w:lang w:val="en-GB"/>
        </w:rPr>
        <w:t xml:space="preserve">Work with EMBs/political finance oversight bodies to provide training and support for employees who upload invoices to ensure that they meet best practice standards. </w:t>
      </w:r>
    </w:p>
    <w:p w14:paraId="3FB246FF" w14:textId="0E1EDDBF" w:rsidR="00B556DE" w:rsidRPr="00171C2D" w:rsidRDefault="000D6BB0" w:rsidP="00847142">
      <w:pPr>
        <w:jc w:val="both"/>
        <w:rPr>
          <w:rFonts w:ascii="Avenir" w:eastAsia="Avenir" w:hAnsi="Avenir" w:cs="Avenir"/>
          <w:highlight w:val="white"/>
          <w:lang w:val="en-GB"/>
        </w:rPr>
      </w:pPr>
      <w:r w:rsidRPr="00171C2D">
        <w:lastRenderedPageBreak/>
        <w:br w:type="page"/>
      </w:r>
    </w:p>
    <w:p w14:paraId="355A6AC5" w14:textId="77777777" w:rsidR="00B556DE" w:rsidRPr="00171C2D" w:rsidRDefault="000D6BB0">
      <w:pPr>
        <w:pStyle w:val="Heading2"/>
        <w:numPr>
          <w:ilvl w:val="0"/>
          <w:numId w:val="0"/>
        </w:numPr>
        <w:ind w:left="360" w:hanging="360"/>
        <w:rPr>
          <w:lang w:val="en-GB"/>
        </w:rPr>
      </w:pPr>
      <w:r w:rsidRPr="00171C2D">
        <w:rPr>
          <w:lang w:val="en-GB"/>
        </w:rPr>
        <w:lastRenderedPageBreak/>
        <w:t xml:space="preserve">References </w:t>
      </w:r>
    </w:p>
    <w:p w14:paraId="68BEE201" w14:textId="0EA15F09"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Bale, T., Webb, P. and Poletti, M., </w:t>
      </w:r>
      <w:proofErr w:type="spellStart"/>
      <w:r w:rsidRPr="00171C2D">
        <w:rPr>
          <w:rFonts w:ascii="Avenir" w:eastAsia="Avenir" w:hAnsi="Avenir" w:cs="Avenir"/>
          <w:i/>
          <w:lang w:val="en-GB"/>
        </w:rPr>
        <w:t>Footsoldiers</w:t>
      </w:r>
      <w:proofErr w:type="spellEnd"/>
      <w:r w:rsidRPr="00171C2D">
        <w:rPr>
          <w:rFonts w:ascii="Avenir" w:eastAsia="Avenir" w:hAnsi="Avenir" w:cs="Avenir"/>
          <w:i/>
          <w:lang w:val="en-GB"/>
        </w:rPr>
        <w:t>: Political Party Membership in the 21st Century</w:t>
      </w:r>
      <w:r w:rsidRPr="00171C2D">
        <w:rPr>
          <w:rFonts w:ascii="Avenir" w:eastAsia="Avenir" w:hAnsi="Avenir" w:cs="Avenir"/>
          <w:lang w:val="en-GB"/>
        </w:rPr>
        <w:t xml:space="preserve"> (Oxford: Oxford University Press, 2020)</w:t>
      </w:r>
      <w:r w:rsidR="00EA7F13" w:rsidRPr="00171C2D">
        <w:rPr>
          <w:rFonts w:ascii="Avenir" w:eastAsia="Avenir" w:hAnsi="Avenir" w:cs="Avenir"/>
          <w:lang w:val="en-GB"/>
        </w:rPr>
        <w:t>, &lt;</w:t>
      </w:r>
      <w:hyperlink r:id="rId26" w:tgtFrame="_blank" w:history="1">
        <w:r w:rsidR="00EA7F13" w:rsidRPr="00171C2D">
          <w:rPr>
            <w:rStyle w:val="Hyperlink"/>
            <w:color w:val="auto"/>
            <w:sz w:val="21"/>
            <w:szCs w:val="21"/>
          </w:rPr>
          <w:t>https://doi.org/10.4324/9780203731765</w:t>
        </w:r>
      </w:hyperlink>
      <w:r w:rsidR="00EA7F13" w:rsidRPr="00171C2D">
        <w:t>&gt;</w:t>
      </w:r>
    </w:p>
    <w:p w14:paraId="53FFC187" w14:textId="3A6BE665" w:rsidR="004D2B10" w:rsidRPr="00171C2D" w:rsidRDefault="004D2B10">
      <w:pPr>
        <w:jc w:val="both"/>
        <w:rPr>
          <w:rFonts w:ascii="Avenir" w:eastAsia="Avenir" w:hAnsi="Avenir" w:cs="Avenir"/>
          <w:lang w:val="en-GB"/>
        </w:rPr>
      </w:pPr>
    </w:p>
    <w:p w14:paraId="5872959E" w14:textId="560795E4" w:rsidR="004D2B10" w:rsidRPr="00171C2D" w:rsidRDefault="004D2B10">
      <w:pPr>
        <w:jc w:val="both"/>
        <w:rPr>
          <w:rFonts w:ascii="Avenir" w:eastAsia="Avenir" w:hAnsi="Avenir" w:cs="Avenir"/>
          <w:lang w:val="en-GB"/>
        </w:rPr>
      </w:pPr>
      <w:r w:rsidRPr="00171C2D">
        <w:rPr>
          <w:rFonts w:ascii="Avenir" w:eastAsia="Avenir" w:hAnsi="Avenir" w:cs="Avenir"/>
          <w:lang w:val="en-GB"/>
        </w:rPr>
        <w:t>Ball, J., ‘The real story of Cambridge Analytica and Brexit’</w:t>
      </w:r>
      <w:r w:rsidR="00FD26FF" w:rsidRPr="00171C2D">
        <w:rPr>
          <w:rFonts w:ascii="Avenir" w:eastAsia="Avenir" w:hAnsi="Avenir" w:cs="Avenir"/>
          <w:lang w:val="en-GB"/>
        </w:rPr>
        <w:t>,</w:t>
      </w:r>
      <w:r w:rsidR="00DA41C4" w:rsidRPr="00171C2D">
        <w:rPr>
          <w:rFonts w:ascii="Avenir" w:eastAsia="Avenir" w:hAnsi="Avenir" w:cs="Avenir"/>
          <w:lang w:val="en-GB"/>
        </w:rPr>
        <w:t xml:space="preserve"> </w:t>
      </w:r>
      <w:r w:rsidR="00FD26FF" w:rsidRPr="00171C2D">
        <w:rPr>
          <w:rFonts w:ascii="Avenir" w:eastAsia="Avenir" w:hAnsi="Avenir" w:cs="Avenir"/>
          <w:i/>
          <w:iCs/>
          <w:lang w:val="en-GB"/>
        </w:rPr>
        <w:t>The Spectator</w:t>
      </w:r>
      <w:r w:rsidR="00FD26FF" w:rsidRPr="00171C2D">
        <w:rPr>
          <w:rFonts w:ascii="Avenir" w:eastAsia="Avenir" w:hAnsi="Avenir" w:cs="Avenir"/>
          <w:lang w:val="en-GB"/>
        </w:rPr>
        <w:t xml:space="preserve">, 11 </w:t>
      </w:r>
      <w:r w:rsidR="00AB3C95" w:rsidRPr="00171C2D">
        <w:rPr>
          <w:rFonts w:ascii="Avenir" w:eastAsia="Avenir" w:hAnsi="Avenir" w:cs="Avenir"/>
          <w:lang w:val="en-GB"/>
        </w:rPr>
        <w:t xml:space="preserve">October 2020, </w:t>
      </w:r>
      <w:r w:rsidR="00DA41C4" w:rsidRPr="00171C2D">
        <w:rPr>
          <w:rFonts w:ascii="Avenir" w:eastAsia="Avenir" w:hAnsi="Avenir" w:cs="Avenir"/>
          <w:lang w:val="en-GB"/>
        </w:rPr>
        <w:t>&lt;</w:t>
      </w:r>
      <w:hyperlink r:id="rId27" w:history="1">
        <w:r w:rsidR="00DA41C4" w:rsidRPr="00171C2D">
          <w:rPr>
            <w:rStyle w:val="Hyperlink"/>
            <w:rFonts w:ascii="Avenir" w:eastAsia="Avenir" w:hAnsi="Avenir" w:cs="Avenir"/>
            <w:color w:val="auto"/>
            <w:lang w:val="en-GB"/>
          </w:rPr>
          <w:t>https://www.spectator.co.uk/article/were-there-any-links-between-cambridge-analytica-russia-and-brexit-</w:t>
        </w:r>
      </w:hyperlink>
      <w:r w:rsidR="00DA41C4" w:rsidRPr="00171C2D">
        <w:rPr>
          <w:rFonts w:ascii="Avenir" w:eastAsia="Avenir" w:hAnsi="Avenir" w:cs="Avenir"/>
          <w:lang w:val="en-GB"/>
        </w:rPr>
        <w:t>&gt;, accessed 11 March 2022</w:t>
      </w:r>
    </w:p>
    <w:p w14:paraId="7DF1236A" w14:textId="77777777" w:rsidR="00B556DE" w:rsidRPr="00171C2D" w:rsidRDefault="00B556DE">
      <w:pPr>
        <w:jc w:val="both"/>
        <w:rPr>
          <w:rFonts w:ascii="Avenir" w:eastAsia="Avenir" w:hAnsi="Avenir" w:cs="Avenir"/>
          <w:lang w:val="en-GB"/>
        </w:rPr>
      </w:pPr>
    </w:p>
    <w:p w14:paraId="26E89EA8" w14:textId="39419AC9" w:rsidR="00B556DE" w:rsidRPr="00171C2D" w:rsidRDefault="000D6BB0">
      <w:pPr>
        <w:jc w:val="both"/>
        <w:rPr>
          <w:rFonts w:ascii="Avenir" w:eastAsia="Avenir" w:hAnsi="Avenir" w:cs="Avenir"/>
          <w:lang w:val="en-GB"/>
        </w:rPr>
      </w:pPr>
      <w:r w:rsidRPr="00171C2D">
        <w:rPr>
          <w:rFonts w:ascii="Avenir" w:eastAsia="Avenir" w:hAnsi="Avenir" w:cs="Avenir"/>
          <w:lang w:val="en-GB"/>
        </w:rPr>
        <w:t>Cabinet Office, Confidence and Supply Agreement between the Conservative and Unionist Party and the Democratic Unionist Party (Cabinet Office, 2017, updated 2020), &lt;https://www.gov.uk/government/publications/conservative-and-dup-agreement-and-uk-government-financial-support-for-northern-ireland/agreement-between-the-conservative-and-unionist-party-and-the-democratic-unionist-party-on-support-for-the-government-in-parliament&gt;, accessed 11 March 2022</w:t>
      </w:r>
    </w:p>
    <w:p w14:paraId="451B6454" w14:textId="77777777" w:rsidR="00B556DE" w:rsidRPr="00171C2D" w:rsidRDefault="00B556DE">
      <w:pPr>
        <w:jc w:val="both"/>
        <w:rPr>
          <w:rFonts w:ascii="Avenir" w:eastAsia="Avenir" w:hAnsi="Avenir" w:cs="Avenir"/>
          <w:lang w:val="en-GB"/>
        </w:rPr>
      </w:pPr>
    </w:p>
    <w:p w14:paraId="46E4C76D" w14:textId="5D62FAEF" w:rsidR="00B556DE" w:rsidRPr="00171C2D" w:rsidRDefault="000D6BB0">
      <w:pPr>
        <w:jc w:val="both"/>
        <w:rPr>
          <w:rFonts w:ascii="Avenir" w:eastAsia="Avenir" w:hAnsi="Avenir" w:cs="Avenir"/>
          <w:iCs/>
          <w:lang w:val="en-GB"/>
        </w:rPr>
      </w:pPr>
      <w:r w:rsidRPr="00171C2D">
        <w:rPr>
          <w:rFonts w:ascii="Avenir" w:eastAsia="Avenir" w:hAnsi="Avenir" w:cs="Avenir"/>
          <w:iCs/>
          <w:lang w:val="en-GB"/>
        </w:rPr>
        <w:t>Committee on Standards in Public Life</w:t>
      </w:r>
      <w:r w:rsidRPr="00171C2D">
        <w:rPr>
          <w:rFonts w:ascii="Avenir" w:eastAsia="Avenir" w:hAnsi="Avenir" w:cs="Avenir"/>
          <w:lang w:val="en-GB"/>
        </w:rPr>
        <w:t xml:space="preserve"> (CSPL), </w:t>
      </w:r>
      <w:r w:rsidRPr="00171C2D">
        <w:rPr>
          <w:rFonts w:ascii="Avenir" w:eastAsia="Avenir" w:hAnsi="Avenir" w:cs="Avenir"/>
          <w:i/>
          <w:lang w:val="en-GB"/>
        </w:rPr>
        <w:t xml:space="preserve">Regulation Election Finance: A review by the Committee on Standards in Public Life </w:t>
      </w:r>
      <w:r w:rsidRPr="00171C2D">
        <w:rPr>
          <w:rFonts w:ascii="Avenir" w:eastAsia="Avenir" w:hAnsi="Avenir" w:cs="Avenir"/>
          <w:iCs/>
          <w:lang w:val="en-GB"/>
        </w:rPr>
        <w:t>(London: CSPL, 2021)</w:t>
      </w:r>
      <w:r w:rsidRPr="00171C2D">
        <w:rPr>
          <w:rFonts w:ascii="Avenir" w:eastAsia="Avenir" w:hAnsi="Avenir" w:cs="Avenir"/>
          <w:i/>
          <w:lang w:val="en-GB"/>
        </w:rPr>
        <w:t>,</w:t>
      </w:r>
      <w:hyperlink r:id="rId28">
        <w:r w:rsidRPr="00171C2D">
          <w:rPr>
            <w:rFonts w:ascii="Avenir" w:eastAsia="Avenir" w:hAnsi="Avenir" w:cs="Avenir"/>
            <w:i/>
            <w:lang w:val="en-GB"/>
          </w:rPr>
          <w:t xml:space="preserve"> </w:t>
        </w:r>
      </w:hyperlink>
      <w:r w:rsidRPr="00171C2D">
        <w:rPr>
          <w:rFonts w:ascii="Avenir" w:eastAsia="Avenir" w:hAnsi="Avenir" w:cs="Avenir"/>
          <w:iCs/>
          <w:lang w:val="en-GB"/>
        </w:rPr>
        <w:t>&lt;</w:t>
      </w:r>
      <w:r w:rsidRPr="00171C2D">
        <w:rPr>
          <w:iCs/>
        </w:rPr>
        <w:t>https://assets.publishing.service.gov.uk/government/uploads/system/uploads/attachment_data/file/999636/CSPL_Regulating_Election_Finance_Review_Final_Web.pdf</w:t>
      </w:r>
      <w:r w:rsidRPr="00171C2D">
        <w:rPr>
          <w:rFonts w:ascii="Avenir" w:eastAsia="Avenir" w:hAnsi="Avenir" w:cs="Avenir"/>
          <w:iCs/>
          <w:lang w:val="en-GB"/>
        </w:rPr>
        <w:t>&gt;, accessed 14 March 2022</w:t>
      </w:r>
    </w:p>
    <w:p w14:paraId="51C3836D" w14:textId="1EC32C5F" w:rsidR="00B556DE" w:rsidRPr="00171C2D" w:rsidRDefault="000D6BB0">
      <w:pPr>
        <w:spacing w:before="480" w:after="380"/>
        <w:jc w:val="both"/>
        <w:rPr>
          <w:rFonts w:ascii="Avenir" w:eastAsia="Avenir" w:hAnsi="Avenir" w:cs="Avenir"/>
          <w:lang w:val="en-GB"/>
        </w:rPr>
      </w:pPr>
      <w:r w:rsidRPr="00171C2D">
        <w:rPr>
          <w:rFonts w:ascii="Avenir" w:eastAsia="Avenir" w:hAnsi="Avenir" w:cs="Avenir"/>
          <w:lang w:val="en-GB"/>
        </w:rPr>
        <w:t xml:space="preserve">Dommett, K., ‘Data-driven political campaigns in practice: Understanding and regulating diverse data-driven campaigns’, </w:t>
      </w:r>
      <w:r w:rsidRPr="00171C2D">
        <w:rPr>
          <w:rFonts w:ascii="Avenir" w:eastAsia="Avenir" w:hAnsi="Avenir" w:cs="Avenir"/>
          <w:i/>
          <w:lang w:val="en-GB"/>
        </w:rPr>
        <w:t>Internet Policy Review</w:t>
      </w:r>
      <w:r w:rsidRPr="00171C2D">
        <w:rPr>
          <w:rFonts w:ascii="Avenir" w:eastAsia="Avenir" w:hAnsi="Avenir" w:cs="Avenir"/>
          <w:lang w:val="en-GB"/>
        </w:rPr>
        <w:t>, 8/4 (2019)</w:t>
      </w:r>
      <w:r w:rsidR="006213CA" w:rsidRPr="00171C2D">
        <w:rPr>
          <w:rFonts w:ascii="Avenir" w:eastAsia="Avenir" w:hAnsi="Avenir" w:cs="Avenir"/>
          <w:lang w:val="en-GB"/>
        </w:rPr>
        <w:t>, &lt;</w:t>
      </w:r>
      <w:hyperlink r:id="rId29" w:tgtFrame="_blank" w:history="1">
        <w:r w:rsidR="006213CA" w:rsidRPr="00171C2D">
          <w:rPr>
            <w:rStyle w:val="Hyperlink"/>
            <w:color w:val="auto"/>
            <w:sz w:val="21"/>
            <w:szCs w:val="21"/>
          </w:rPr>
          <w:t>https://doi.org/10.14763/2019.4.1432</w:t>
        </w:r>
      </w:hyperlink>
      <w:r w:rsidR="006213CA" w:rsidRPr="00171C2D">
        <w:t>&gt;</w:t>
      </w:r>
    </w:p>
    <w:p w14:paraId="5495DCD7" w14:textId="644CE7E6"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Dommett, K., </w:t>
      </w:r>
      <w:proofErr w:type="spellStart"/>
      <w:r w:rsidRPr="00171C2D">
        <w:rPr>
          <w:rFonts w:ascii="Avenir" w:eastAsia="Avenir" w:hAnsi="Avenir" w:cs="Avenir"/>
          <w:lang w:val="en-GB"/>
        </w:rPr>
        <w:t>Kefford</w:t>
      </w:r>
      <w:proofErr w:type="spellEnd"/>
      <w:r w:rsidRPr="00171C2D">
        <w:rPr>
          <w:rFonts w:ascii="Avenir" w:eastAsia="Avenir" w:hAnsi="Avenir" w:cs="Avenir"/>
          <w:lang w:val="en-GB"/>
        </w:rPr>
        <w:t xml:space="preserve">, G. and Power, S., ‘The digital ecosystem: The new politics of party organization in parliamentary democracies’, </w:t>
      </w:r>
      <w:r w:rsidRPr="00171C2D">
        <w:rPr>
          <w:rFonts w:ascii="Avenir" w:eastAsia="Avenir" w:hAnsi="Avenir" w:cs="Avenir"/>
          <w:i/>
          <w:lang w:val="en-GB"/>
        </w:rPr>
        <w:t>Party Politics</w:t>
      </w:r>
      <w:r w:rsidRPr="00171C2D">
        <w:rPr>
          <w:rFonts w:ascii="Avenir" w:eastAsia="Avenir" w:hAnsi="Avenir" w:cs="Avenir"/>
          <w:lang w:val="en-GB"/>
        </w:rPr>
        <w:t>, 27/5 (2021), pp.</w:t>
      </w:r>
      <w:r w:rsidR="00F80B59" w:rsidRPr="00171C2D">
        <w:rPr>
          <w:rFonts w:ascii="Avenir" w:eastAsia="Avenir" w:hAnsi="Avenir" w:cs="Avenir"/>
          <w:lang w:val="en-GB"/>
        </w:rPr>
        <w:t> </w:t>
      </w:r>
      <w:r w:rsidRPr="00171C2D">
        <w:rPr>
          <w:rFonts w:ascii="Avenir" w:eastAsia="Avenir" w:hAnsi="Avenir" w:cs="Avenir"/>
          <w:lang w:val="en-GB"/>
        </w:rPr>
        <w:t>847–57</w:t>
      </w:r>
      <w:r w:rsidR="00D43854" w:rsidRPr="00171C2D">
        <w:rPr>
          <w:rFonts w:ascii="Avenir" w:eastAsia="Avenir" w:hAnsi="Avenir" w:cs="Avenir"/>
          <w:lang w:val="en-GB"/>
        </w:rPr>
        <w:t>, &lt;</w:t>
      </w:r>
      <w:hyperlink r:id="rId30" w:tgtFrame="_blank" w:history="1">
        <w:r w:rsidR="00D43854" w:rsidRPr="00171C2D">
          <w:rPr>
            <w:rStyle w:val="Hyperlink"/>
            <w:color w:val="auto"/>
            <w:sz w:val="21"/>
            <w:szCs w:val="21"/>
          </w:rPr>
          <w:t>https://doi.org/10.1177/1354068820907667</w:t>
        </w:r>
      </w:hyperlink>
      <w:r w:rsidR="00D43854" w:rsidRPr="00171C2D">
        <w:t>&gt;</w:t>
      </w:r>
    </w:p>
    <w:p w14:paraId="144601B2" w14:textId="77777777" w:rsidR="00B556DE" w:rsidRPr="00171C2D" w:rsidRDefault="00B556DE">
      <w:pPr>
        <w:jc w:val="both"/>
        <w:rPr>
          <w:rFonts w:ascii="Avenir" w:eastAsia="Avenir" w:hAnsi="Avenir" w:cs="Avenir"/>
          <w:lang w:val="en-GB"/>
        </w:rPr>
      </w:pPr>
    </w:p>
    <w:p w14:paraId="5CBBB81E" w14:textId="0EFCE8E9" w:rsidR="00B556DE" w:rsidRPr="00171C2D" w:rsidRDefault="000D6BB0">
      <w:pPr>
        <w:jc w:val="both"/>
        <w:rPr>
          <w:rFonts w:ascii="Avenir" w:eastAsia="Avenir" w:hAnsi="Avenir" w:cs="Avenir"/>
          <w:lang w:val="en-GB"/>
        </w:rPr>
      </w:pPr>
      <w:r w:rsidRPr="00171C2D">
        <w:rPr>
          <w:rFonts w:ascii="Avenir" w:eastAsia="Avenir" w:hAnsi="Avenir" w:cs="Avenir"/>
          <w:lang w:val="en-GB"/>
        </w:rPr>
        <w:t>Electoral Commission</w:t>
      </w:r>
      <w:r w:rsidR="003675D6" w:rsidRPr="00171C2D">
        <w:rPr>
          <w:rFonts w:ascii="Avenir" w:eastAsia="Avenir" w:hAnsi="Avenir" w:cs="Avenir"/>
          <w:lang w:val="en-GB"/>
        </w:rPr>
        <w:t>, United Kingdom</w:t>
      </w:r>
      <w:r w:rsidRPr="00171C2D">
        <w:rPr>
          <w:rFonts w:ascii="Avenir" w:eastAsia="Avenir" w:hAnsi="Avenir" w:cs="Avenir"/>
          <w:lang w:val="en-GB"/>
        </w:rPr>
        <w:t xml:space="preserve">, </w:t>
      </w:r>
      <w:r w:rsidRPr="00171C2D">
        <w:rPr>
          <w:rFonts w:ascii="Avenir" w:eastAsia="Avenir" w:hAnsi="Avenir" w:cs="Avenir"/>
          <w:i/>
          <w:lang w:val="en-GB"/>
        </w:rPr>
        <w:t>UK Parliamentary General Election 2015: Campaign spending report</w:t>
      </w:r>
      <w:r w:rsidRPr="00171C2D">
        <w:rPr>
          <w:rFonts w:ascii="Avenir" w:eastAsia="Avenir" w:hAnsi="Avenir" w:cs="Avenir"/>
          <w:iCs/>
          <w:lang w:val="en-GB"/>
        </w:rPr>
        <w:t xml:space="preserve"> (London: Electoral Commission, 2016a)</w:t>
      </w:r>
      <w:r w:rsidRPr="00171C2D">
        <w:rPr>
          <w:rFonts w:ascii="Avenir" w:eastAsia="Avenir" w:hAnsi="Avenir" w:cs="Avenir"/>
          <w:lang w:val="en-GB"/>
        </w:rPr>
        <w:t>,</w:t>
      </w:r>
      <w:hyperlink r:id="rId31">
        <w:r w:rsidRPr="00171C2D">
          <w:rPr>
            <w:rFonts w:ascii="Avenir" w:eastAsia="Avenir" w:hAnsi="Avenir" w:cs="Avenir"/>
            <w:lang w:val="en-GB"/>
          </w:rPr>
          <w:t xml:space="preserve"> </w:t>
        </w:r>
      </w:hyperlink>
      <w:r w:rsidRPr="00171C2D">
        <w:t>&lt;</w:t>
      </w:r>
      <w:hyperlink r:id="rId32" w:history="1">
        <w:r w:rsidRPr="00171C2D">
          <w:rPr>
            <w:rStyle w:val="Hyperlink"/>
            <w:color w:val="auto"/>
            <w:lang w:val="en-GB"/>
          </w:rPr>
          <w:t>https://www.electoralcommission.org.uk/sites/default/files/pdf_file/UKPGE-Spending-Report-2015.pdf</w:t>
        </w:r>
      </w:hyperlink>
      <w:r w:rsidRPr="00171C2D">
        <w:rPr>
          <w:lang w:val="en-GB"/>
        </w:rPr>
        <w:t>&gt;, accessed 11 March 2022</w:t>
      </w:r>
    </w:p>
    <w:p w14:paraId="2893486B" w14:textId="77777777" w:rsidR="00B556DE" w:rsidRPr="00171C2D" w:rsidRDefault="00B556DE">
      <w:pPr>
        <w:jc w:val="both"/>
        <w:rPr>
          <w:rFonts w:ascii="Avenir" w:eastAsia="Avenir" w:hAnsi="Avenir" w:cs="Avenir"/>
          <w:lang w:val="en-GB"/>
        </w:rPr>
      </w:pPr>
    </w:p>
    <w:p w14:paraId="354DEB77" w14:textId="23AE6247" w:rsidR="00B556DE" w:rsidRPr="00171C2D" w:rsidRDefault="003675D6">
      <w:pPr>
        <w:jc w:val="both"/>
        <w:rPr>
          <w:rFonts w:ascii="Avenir" w:eastAsia="Avenir" w:hAnsi="Avenir" w:cs="Avenir"/>
          <w:lang w:val="en-GB"/>
        </w:rPr>
      </w:pPr>
      <w:r w:rsidRPr="00171C2D">
        <w:rPr>
          <w:rFonts w:ascii="Cambria" w:eastAsia="Avenir" w:hAnsi="Cambria" w:cs="Avenir"/>
          <w:lang w:val="en-GB"/>
        </w:rPr>
        <w:t>—</w:t>
      </w:r>
      <w:r w:rsidR="000D6BB0" w:rsidRPr="00171C2D">
        <w:rPr>
          <w:rFonts w:ascii="Avenir" w:eastAsia="Avenir" w:hAnsi="Avenir" w:cs="Avenir"/>
          <w:lang w:val="en-GB"/>
        </w:rPr>
        <w:t xml:space="preserve">, </w:t>
      </w:r>
      <w:r w:rsidR="000D6BB0" w:rsidRPr="00171C2D">
        <w:rPr>
          <w:rFonts w:ascii="Avenir" w:eastAsia="Avenir" w:hAnsi="Avenir" w:cs="Avenir"/>
          <w:i/>
          <w:iCs/>
          <w:lang w:val="en-GB"/>
        </w:rPr>
        <w:t>Enforcement Policy</w:t>
      </w:r>
      <w:r w:rsidR="000D6BB0" w:rsidRPr="00171C2D">
        <w:rPr>
          <w:rFonts w:ascii="Avenir" w:eastAsia="Avenir" w:hAnsi="Avenir" w:cs="Avenir"/>
          <w:lang w:val="en-GB"/>
        </w:rPr>
        <w:t xml:space="preserve"> (London: Electoral Commission, 2016b), &lt;</w:t>
      </w:r>
      <w:hyperlink r:id="rId33" w:history="1">
        <w:r w:rsidR="000D6BB0" w:rsidRPr="00171C2D">
          <w:rPr>
            <w:rStyle w:val="Hyperlink"/>
            <w:rFonts w:ascii="Avenir" w:eastAsia="Avenir" w:hAnsi="Avenir" w:cs="Avenir"/>
            <w:color w:val="auto"/>
            <w:lang w:val="en-GB"/>
          </w:rPr>
          <w:t>https://www.electoralcommission.org.uk/sites/default/files/pdf_file/April-2016-Enforcement-Policy.pdf</w:t>
        </w:r>
      </w:hyperlink>
      <w:r w:rsidR="000D6BB0" w:rsidRPr="00171C2D">
        <w:rPr>
          <w:rFonts w:ascii="Avenir" w:eastAsia="Avenir" w:hAnsi="Avenir" w:cs="Avenir"/>
          <w:lang w:val="en-GB"/>
        </w:rPr>
        <w:t>&gt;, accessed 14 March 2022</w:t>
      </w:r>
    </w:p>
    <w:p w14:paraId="094F0FB9" w14:textId="77777777" w:rsidR="00B556DE" w:rsidRPr="00171C2D" w:rsidRDefault="00B556DE">
      <w:pPr>
        <w:jc w:val="both"/>
        <w:rPr>
          <w:rFonts w:ascii="Avenir" w:eastAsia="Avenir" w:hAnsi="Avenir" w:cs="Avenir"/>
          <w:lang w:val="en-GB"/>
        </w:rPr>
      </w:pPr>
    </w:p>
    <w:p w14:paraId="391AD75E" w14:textId="1EE2CEA2" w:rsidR="00B556DE" w:rsidRPr="00171C2D" w:rsidRDefault="003675D6">
      <w:pPr>
        <w:jc w:val="both"/>
        <w:rPr>
          <w:rFonts w:ascii="Avenir" w:eastAsia="Avenir" w:hAnsi="Avenir" w:cs="Avenir"/>
          <w:lang w:val="en-GB"/>
        </w:rPr>
      </w:pPr>
      <w:r w:rsidRPr="00171C2D">
        <w:rPr>
          <w:rFonts w:ascii="Cambria" w:eastAsia="Avenir" w:hAnsi="Cambria" w:cs="Avenir"/>
          <w:lang w:val="en-GB"/>
        </w:rPr>
        <w:t>—</w:t>
      </w:r>
      <w:r w:rsidR="000D6BB0" w:rsidRPr="00171C2D">
        <w:rPr>
          <w:rFonts w:ascii="Avenir" w:eastAsia="Avenir" w:hAnsi="Avenir" w:cs="Avenir"/>
          <w:lang w:val="en-GB"/>
        </w:rPr>
        <w:t>, ‘Investigation: Liberal Democrats 2015 UK Parliamentary general election campaign spending return’, 7 December 2016c, &lt;</w:t>
      </w:r>
      <w:hyperlink r:id="rId34" w:history="1">
        <w:r w:rsidR="000D6BB0" w:rsidRPr="00171C2D">
          <w:rPr>
            <w:rStyle w:val="Hyperlink"/>
            <w:rFonts w:ascii="Avenir" w:eastAsia="Avenir" w:hAnsi="Avenir" w:cs="Avenir"/>
            <w:color w:val="auto"/>
            <w:lang w:val="en-GB"/>
          </w:rPr>
          <w:t>https://www.electoralcommission.org.uk/who-we-are-and-what-we-do/our-enforcement-work/investigations/investigation-liberal-democrats-2015-uk-parliamentary-general-election-campaign-spending-return</w:t>
        </w:r>
      </w:hyperlink>
      <w:r w:rsidR="000D6BB0" w:rsidRPr="00171C2D">
        <w:rPr>
          <w:rFonts w:ascii="Avenir" w:eastAsia="Avenir" w:hAnsi="Avenir" w:cs="Avenir"/>
          <w:lang w:val="en-GB"/>
        </w:rPr>
        <w:t>&gt;, accessed 14 March 2022</w:t>
      </w:r>
    </w:p>
    <w:p w14:paraId="55C4FC9A" w14:textId="77777777" w:rsidR="00B556DE" w:rsidRPr="00171C2D" w:rsidRDefault="00B556DE">
      <w:pPr>
        <w:jc w:val="both"/>
        <w:rPr>
          <w:rFonts w:ascii="Avenir" w:eastAsia="Avenir" w:hAnsi="Avenir" w:cs="Avenir"/>
          <w:lang w:val="en-GB"/>
        </w:rPr>
      </w:pPr>
    </w:p>
    <w:p w14:paraId="011B766B" w14:textId="5A606615" w:rsidR="00B556DE" w:rsidRPr="00171C2D" w:rsidRDefault="003675D6">
      <w:pPr>
        <w:jc w:val="both"/>
        <w:rPr>
          <w:rFonts w:ascii="Avenir" w:eastAsia="Avenir" w:hAnsi="Avenir" w:cs="Avenir"/>
          <w:lang w:val="en-GB"/>
        </w:rPr>
      </w:pPr>
      <w:r w:rsidRPr="00171C2D">
        <w:rPr>
          <w:rFonts w:ascii="Cambria" w:eastAsia="Avenir" w:hAnsi="Cambria" w:cs="Avenir"/>
          <w:lang w:val="en-GB"/>
        </w:rPr>
        <w:lastRenderedPageBreak/>
        <w:t>—</w:t>
      </w:r>
      <w:r w:rsidR="000D6BB0" w:rsidRPr="00171C2D">
        <w:rPr>
          <w:rFonts w:ascii="Avenir" w:eastAsia="Avenir" w:hAnsi="Avenir" w:cs="Avenir"/>
          <w:lang w:val="en-GB"/>
        </w:rPr>
        <w:t>, ‘Investigation: Conservative and Unionist Party campaign spending returns for the 2014 European Parliamentary Election, 2015 UK Parliamentary General Election, and the 2014 parliamentary by-elections in Clacton, Newark and Rochester and Strood’, 16 March 2017, &lt;</w:t>
      </w:r>
      <w:hyperlink r:id="rId35" w:history="1">
        <w:r w:rsidR="000D6BB0" w:rsidRPr="00171C2D">
          <w:rPr>
            <w:rStyle w:val="Hyperlink"/>
            <w:rFonts w:ascii="Avenir" w:eastAsia="Avenir" w:hAnsi="Avenir" w:cs="Avenir"/>
            <w:color w:val="auto"/>
            <w:lang w:val="en-GB"/>
          </w:rPr>
          <w:t>https://www.electoralcommission.org.uk/who-we-are-and-what-we-do/our-enforcement-work/investigations/investigation-conservative-and-unionist-party-campaign-spending-returns-2014-european-parliamentary</w:t>
        </w:r>
      </w:hyperlink>
      <w:r w:rsidR="000D6BB0" w:rsidRPr="00171C2D">
        <w:rPr>
          <w:rFonts w:ascii="Avenir" w:eastAsia="Avenir" w:hAnsi="Avenir" w:cs="Avenir"/>
          <w:lang w:val="en-GB"/>
        </w:rPr>
        <w:t>&gt;, accessed 14 March 2022</w:t>
      </w:r>
    </w:p>
    <w:p w14:paraId="159A8B84" w14:textId="77777777"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 </w:t>
      </w:r>
    </w:p>
    <w:p w14:paraId="64E6F39C" w14:textId="0A81895F" w:rsidR="00B556DE" w:rsidRPr="00171C2D" w:rsidRDefault="003675D6">
      <w:pPr>
        <w:jc w:val="both"/>
        <w:rPr>
          <w:rFonts w:ascii="Avenir" w:eastAsia="Avenir" w:hAnsi="Avenir" w:cs="Avenir"/>
          <w:lang w:val="en-GB"/>
        </w:rPr>
      </w:pPr>
      <w:r w:rsidRPr="00171C2D">
        <w:rPr>
          <w:rFonts w:ascii="Cambria" w:eastAsia="Avenir" w:hAnsi="Cambria" w:cs="Avenir"/>
          <w:lang w:val="en-GB"/>
        </w:rPr>
        <w:t>—</w:t>
      </w:r>
      <w:r w:rsidR="000D6BB0" w:rsidRPr="00171C2D">
        <w:rPr>
          <w:rFonts w:ascii="Avenir" w:eastAsia="Avenir" w:hAnsi="Avenir" w:cs="Avenir"/>
          <w:lang w:val="en-GB"/>
        </w:rPr>
        <w:t xml:space="preserve">, </w:t>
      </w:r>
      <w:r w:rsidR="000D6BB0" w:rsidRPr="00171C2D">
        <w:rPr>
          <w:rFonts w:ascii="Avenir" w:eastAsia="Avenir" w:hAnsi="Avenir" w:cs="Avenir"/>
          <w:i/>
          <w:lang w:val="en-GB"/>
        </w:rPr>
        <w:t>Digital Campaigning: Increasing transparency for voters</w:t>
      </w:r>
      <w:r w:rsidR="000D6BB0" w:rsidRPr="00171C2D">
        <w:rPr>
          <w:rFonts w:ascii="Avenir" w:eastAsia="Avenir" w:hAnsi="Avenir" w:cs="Avenir"/>
          <w:iCs/>
          <w:lang w:val="en-GB"/>
        </w:rPr>
        <w:t xml:space="preserve"> (London: Electoral Commission, 2018)</w:t>
      </w:r>
      <w:r w:rsidR="000D6BB0" w:rsidRPr="00171C2D">
        <w:rPr>
          <w:rFonts w:ascii="Avenir" w:eastAsia="Avenir" w:hAnsi="Avenir" w:cs="Avenir"/>
          <w:i/>
          <w:lang w:val="en-GB"/>
        </w:rPr>
        <w:t>,</w:t>
      </w:r>
      <w:hyperlink r:id="rId36">
        <w:r w:rsidR="000D6BB0" w:rsidRPr="00171C2D">
          <w:rPr>
            <w:rFonts w:ascii="Avenir" w:eastAsia="Avenir" w:hAnsi="Avenir" w:cs="Avenir"/>
            <w:i/>
            <w:lang w:val="en-GB"/>
          </w:rPr>
          <w:t xml:space="preserve"> </w:t>
        </w:r>
      </w:hyperlink>
      <w:r w:rsidR="000D6BB0" w:rsidRPr="00171C2D">
        <w:rPr>
          <w:rFonts w:ascii="Avenir" w:eastAsia="Avenir" w:hAnsi="Avenir" w:cs="Avenir"/>
          <w:iCs/>
          <w:lang w:val="en-GB"/>
        </w:rPr>
        <w:t>&lt;</w:t>
      </w:r>
      <w:hyperlink r:id="rId37" w:history="1">
        <w:r w:rsidR="000D6BB0" w:rsidRPr="00171C2D">
          <w:rPr>
            <w:rStyle w:val="Hyperlink"/>
            <w:rFonts w:ascii="Avenir" w:eastAsia="Avenir" w:hAnsi="Avenir" w:cs="Avenir"/>
            <w:color w:val="auto"/>
            <w:lang w:val="en-GB"/>
          </w:rPr>
          <w:t>https://www.electoralcommission.org.uk/sites/default/files/pdf_file/Digital-campaigning-improving-transparency-for-voters.pdf</w:t>
        </w:r>
      </w:hyperlink>
      <w:r w:rsidR="000D6BB0" w:rsidRPr="00171C2D">
        <w:rPr>
          <w:rFonts w:ascii="Avenir" w:eastAsia="Avenir" w:hAnsi="Avenir" w:cs="Avenir"/>
          <w:lang w:val="en-GB"/>
        </w:rPr>
        <w:t>&gt;, accessed 11 March 202</w:t>
      </w:r>
    </w:p>
    <w:p w14:paraId="0B1C96E8" w14:textId="77777777"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 </w:t>
      </w:r>
    </w:p>
    <w:p w14:paraId="62D5FB60" w14:textId="0F90BA15" w:rsidR="00B556DE" w:rsidRPr="00171C2D" w:rsidRDefault="003675D6">
      <w:pPr>
        <w:jc w:val="both"/>
        <w:rPr>
          <w:rFonts w:ascii="Avenir" w:eastAsia="Avenir" w:hAnsi="Avenir" w:cs="Avenir"/>
          <w:lang w:val="en-GB"/>
        </w:rPr>
      </w:pPr>
      <w:r w:rsidRPr="00171C2D">
        <w:rPr>
          <w:rFonts w:ascii="Cambria" w:eastAsia="Avenir" w:hAnsi="Cambria" w:cs="Avenir"/>
          <w:lang w:val="en-GB"/>
        </w:rPr>
        <w:t>—</w:t>
      </w:r>
      <w:r w:rsidR="000D6BB0" w:rsidRPr="00171C2D">
        <w:rPr>
          <w:rFonts w:ascii="Avenir" w:eastAsia="Avenir" w:hAnsi="Avenir" w:cs="Avenir"/>
          <w:lang w:val="en-GB"/>
        </w:rPr>
        <w:t xml:space="preserve">, </w:t>
      </w:r>
      <w:r w:rsidR="000D6BB0" w:rsidRPr="00171C2D">
        <w:rPr>
          <w:rFonts w:ascii="Avenir" w:eastAsia="Avenir" w:hAnsi="Avenir" w:cs="Avenir"/>
          <w:i/>
          <w:iCs/>
          <w:lang w:val="en-GB"/>
        </w:rPr>
        <w:t>UK Parliamentary General Election 2019: Political Parties (GB &amp; NI)</w:t>
      </w:r>
      <w:r w:rsidR="000D6BB0" w:rsidRPr="00171C2D">
        <w:rPr>
          <w:rFonts w:ascii="Avenir" w:eastAsia="Avenir" w:hAnsi="Avenir" w:cs="Avenir"/>
          <w:lang w:val="en-GB"/>
        </w:rPr>
        <w:t xml:space="preserve"> (London: Electoral Commission, 2019), &lt;</w:t>
      </w:r>
      <w:hyperlink r:id="rId38" w:history="1">
        <w:r w:rsidR="000D6BB0" w:rsidRPr="00171C2D">
          <w:rPr>
            <w:rStyle w:val="Hyperlink"/>
            <w:rFonts w:ascii="Avenir" w:eastAsia="Avenir" w:hAnsi="Avenir" w:cs="Avenir"/>
            <w:color w:val="auto"/>
            <w:lang w:val="en-GB"/>
          </w:rPr>
          <w:t>https://www.electoralcommission.org.uk/sites/default/files/2019-10/Political%20parties%202019%20UKPGE.pdf</w:t>
        </w:r>
      </w:hyperlink>
      <w:r w:rsidR="000D6BB0" w:rsidRPr="00171C2D">
        <w:rPr>
          <w:rFonts w:ascii="Avenir" w:eastAsia="Avenir" w:hAnsi="Avenir" w:cs="Avenir"/>
          <w:lang w:val="en-GB"/>
        </w:rPr>
        <w:t>&gt;, accessed 11 March 2022</w:t>
      </w:r>
    </w:p>
    <w:p w14:paraId="46197B73" w14:textId="77777777" w:rsidR="00B556DE" w:rsidRPr="00171C2D" w:rsidRDefault="00B556DE">
      <w:pPr>
        <w:jc w:val="both"/>
        <w:rPr>
          <w:rFonts w:ascii="Avenir" w:eastAsia="Avenir" w:hAnsi="Avenir" w:cs="Avenir"/>
          <w:lang w:val="en-GB"/>
        </w:rPr>
      </w:pPr>
    </w:p>
    <w:p w14:paraId="5AA1C1FE" w14:textId="468C8E28" w:rsidR="00B556DE" w:rsidRPr="00171C2D" w:rsidRDefault="003675D6">
      <w:pPr>
        <w:jc w:val="both"/>
        <w:rPr>
          <w:rFonts w:ascii="Avenir" w:eastAsia="Avenir" w:hAnsi="Avenir" w:cs="Avenir"/>
          <w:lang w:val="en-GB"/>
        </w:rPr>
      </w:pPr>
      <w:r w:rsidRPr="00171C2D">
        <w:rPr>
          <w:rFonts w:ascii="Cambria" w:eastAsia="Avenir" w:hAnsi="Cambria" w:cs="Avenir"/>
          <w:lang w:val="en-GB"/>
        </w:rPr>
        <w:t>—</w:t>
      </w:r>
      <w:r w:rsidR="000D6BB0" w:rsidRPr="00171C2D">
        <w:rPr>
          <w:rFonts w:ascii="Avenir" w:eastAsia="Avenir" w:hAnsi="Avenir" w:cs="Avenir"/>
          <w:lang w:val="en-GB"/>
        </w:rPr>
        <w:t>, ‘How investigations work’, 9 December 2021, &lt;</w:t>
      </w:r>
      <w:hyperlink r:id="rId39" w:history="1">
        <w:r w:rsidR="000D6BB0" w:rsidRPr="00171C2D">
          <w:rPr>
            <w:rStyle w:val="Hyperlink"/>
            <w:rFonts w:ascii="Avenir" w:eastAsia="Avenir" w:hAnsi="Avenir" w:cs="Avenir"/>
            <w:color w:val="auto"/>
            <w:lang w:val="en-GB"/>
          </w:rPr>
          <w:t>https://www.electoralcommission.org.uk/who-we-are-and-what-we-do/our-enforcement-work/investigations/how-investigations-work</w:t>
        </w:r>
      </w:hyperlink>
      <w:r w:rsidR="000D6BB0" w:rsidRPr="00171C2D">
        <w:rPr>
          <w:rFonts w:ascii="Avenir" w:eastAsia="Avenir" w:hAnsi="Avenir" w:cs="Avenir"/>
          <w:lang w:val="en-GB"/>
        </w:rPr>
        <w:t>&gt;, accessed 11 March 2022</w:t>
      </w:r>
    </w:p>
    <w:p w14:paraId="0A9C179A" w14:textId="77777777" w:rsidR="00B556DE" w:rsidRPr="00171C2D" w:rsidRDefault="00B556DE">
      <w:pPr>
        <w:jc w:val="both"/>
        <w:rPr>
          <w:rFonts w:ascii="Avenir" w:eastAsia="Avenir" w:hAnsi="Avenir" w:cs="Avenir"/>
          <w:lang w:val="en-GB"/>
        </w:rPr>
      </w:pPr>
    </w:p>
    <w:p w14:paraId="214218C2" w14:textId="563DFAD1" w:rsidR="00B556DE" w:rsidRPr="00171C2D" w:rsidRDefault="003675D6">
      <w:pPr>
        <w:jc w:val="both"/>
        <w:rPr>
          <w:rFonts w:ascii="Avenir" w:eastAsia="Avenir" w:hAnsi="Avenir" w:cs="Avenir"/>
          <w:lang w:val="en-GB"/>
        </w:rPr>
      </w:pPr>
      <w:r w:rsidRPr="00171C2D">
        <w:rPr>
          <w:rFonts w:ascii="Cambria" w:eastAsia="Avenir" w:hAnsi="Cambria" w:cs="Avenir"/>
          <w:lang w:val="en-GB"/>
        </w:rPr>
        <w:t>—</w:t>
      </w:r>
      <w:r w:rsidR="000D6BB0" w:rsidRPr="00171C2D">
        <w:rPr>
          <w:rFonts w:ascii="Avenir" w:eastAsia="Avenir" w:hAnsi="Avenir" w:cs="Avenir"/>
          <w:lang w:val="en-GB"/>
        </w:rPr>
        <w:t xml:space="preserve">, </w:t>
      </w:r>
      <w:r w:rsidR="00D04FA7" w:rsidRPr="00171C2D">
        <w:rPr>
          <w:rFonts w:ascii="Avenir" w:eastAsia="Avenir" w:hAnsi="Avenir" w:cs="Avenir"/>
          <w:lang w:val="en-GB"/>
        </w:rPr>
        <w:t>P</w:t>
      </w:r>
      <w:r w:rsidR="000D6BB0" w:rsidRPr="00171C2D">
        <w:rPr>
          <w:rFonts w:ascii="Avenir" w:eastAsia="Avenir" w:hAnsi="Avenir" w:cs="Avenir"/>
          <w:lang w:val="en-GB"/>
        </w:rPr>
        <w:t>olitical finance database, 2022, &lt;</w:t>
      </w:r>
      <w:hyperlink r:id="rId40" w:history="1">
        <w:r w:rsidR="000D6BB0" w:rsidRPr="00171C2D">
          <w:rPr>
            <w:rStyle w:val="Hyperlink"/>
            <w:rFonts w:ascii="Avenir" w:eastAsia="Avenir" w:hAnsi="Avenir" w:cs="Avenir"/>
            <w:color w:val="auto"/>
            <w:lang w:val="en-GB"/>
          </w:rPr>
          <w:t>http://search.electoralcommission.org.uk/Search/Spending?currentPage=1&amp;rows=20&amp;sort=TotalExpenditure&amp;order=desc&amp;tab=1&amp;et=pp&amp;includeOutsideSection75=true&amp;evt=ukparliament&amp;ev=3696&amp;optCols=ExpenseCategoryName&amp;optCols=AmountInEngland&amp;optCols=AmountInScotland&amp;optCols=AmountInWales&amp;optCols=AmountInNorthernIreland&amp;optCols=DatePaid</w:t>
        </w:r>
      </w:hyperlink>
      <w:r w:rsidR="000D6BB0" w:rsidRPr="00171C2D">
        <w:rPr>
          <w:rFonts w:ascii="Avenir" w:eastAsia="Avenir" w:hAnsi="Avenir" w:cs="Avenir"/>
          <w:lang w:val="en-GB"/>
        </w:rPr>
        <w:t>&gt;, accessed 11 March 2022</w:t>
      </w:r>
    </w:p>
    <w:p w14:paraId="7FBC8B96" w14:textId="77777777" w:rsidR="00B556DE" w:rsidRPr="00171C2D" w:rsidRDefault="00B556DE">
      <w:pPr>
        <w:jc w:val="both"/>
        <w:rPr>
          <w:rFonts w:ascii="Avenir" w:eastAsia="Avenir" w:hAnsi="Avenir" w:cs="Avenir"/>
          <w:lang w:val="en-GB"/>
        </w:rPr>
      </w:pPr>
    </w:p>
    <w:p w14:paraId="7F43F3C6" w14:textId="7E147E12" w:rsidR="00B556DE" w:rsidRPr="00171C2D" w:rsidRDefault="000D6BB0">
      <w:pPr>
        <w:jc w:val="both"/>
        <w:rPr>
          <w:rFonts w:ascii="Avenir" w:eastAsia="Avenir" w:hAnsi="Avenir" w:cs="Avenir"/>
          <w:lang w:val="en-GB"/>
        </w:rPr>
      </w:pPr>
      <w:r w:rsidRPr="00171C2D">
        <w:rPr>
          <w:rFonts w:ascii="Avenir" w:eastAsia="Avenir" w:hAnsi="Avenir" w:cs="Avenir"/>
          <w:lang w:val="en-GB"/>
        </w:rPr>
        <w:t>Federal Election Commission</w:t>
      </w:r>
      <w:r w:rsidR="0034687A" w:rsidRPr="00171C2D">
        <w:rPr>
          <w:rFonts w:ascii="Avenir" w:eastAsia="Avenir" w:hAnsi="Avenir" w:cs="Avenir"/>
          <w:lang w:val="en-GB"/>
        </w:rPr>
        <w:t>, United States of America,</w:t>
      </w:r>
      <w:r w:rsidRPr="00171C2D">
        <w:rPr>
          <w:rFonts w:ascii="Avenir" w:eastAsia="Avenir" w:hAnsi="Avenir" w:cs="Avenir"/>
          <w:lang w:val="en-GB"/>
        </w:rPr>
        <w:t xml:space="preserve"> </w:t>
      </w:r>
      <w:proofErr w:type="spellStart"/>
      <w:r w:rsidRPr="00171C2D">
        <w:rPr>
          <w:rFonts w:ascii="Avenir" w:eastAsia="Avenir" w:hAnsi="Avenir" w:cs="Avenir"/>
          <w:lang w:val="en-GB"/>
        </w:rPr>
        <w:t>OpenFEC</w:t>
      </w:r>
      <w:proofErr w:type="spellEnd"/>
      <w:r w:rsidRPr="00171C2D">
        <w:rPr>
          <w:rFonts w:ascii="Avenir" w:eastAsia="Avenir" w:hAnsi="Avenir" w:cs="Avenir"/>
          <w:lang w:val="en-GB"/>
        </w:rPr>
        <w:t xml:space="preserve"> API, </w:t>
      </w:r>
      <w:r w:rsidR="00FA09F1" w:rsidRPr="00171C2D">
        <w:rPr>
          <w:rFonts w:ascii="Avenir" w:eastAsia="Avenir" w:hAnsi="Avenir" w:cs="Avenir"/>
          <w:lang w:val="en-GB"/>
        </w:rPr>
        <w:t>[</w:t>
      </w:r>
      <w:r w:rsidRPr="00171C2D">
        <w:rPr>
          <w:rFonts w:ascii="Avenir" w:eastAsia="Avenir" w:hAnsi="Avenir" w:cs="Avenir"/>
          <w:lang w:val="en-GB"/>
        </w:rPr>
        <w:t>n.d.</w:t>
      </w:r>
      <w:r w:rsidR="00FA09F1" w:rsidRPr="00171C2D">
        <w:rPr>
          <w:rFonts w:ascii="Avenir" w:eastAsia="Avenir" w:hAnsi="Avenir" w:cs="Avenir"/>
          <w:lang w:val="en-GB"/>
        </w:rPr>
        <w:t>]</w:t>
      </w:r>
      <w:r w:rsidRPr="00171C2D">
        <w:rPr>
          <w:rFonts w:ascii="Avenir" w:eastAsia="Avenir" w:hAnsi="Avenir" w:cs="Avenir"/>
          <w:lang w:val="en-GB"/>
        </w:rPr>
        <w:t>, &lt;</w:t>
      </w:r>
      <w:hyperlink r:id="rId41" w:history="1">
        <w:r w:rsidRPr="00171C2D">
          <w:rPr>
            <w:rStyle w:val="Hyperlink"/>
            <w:rFonts w:ascii="Avenir" w:eastAsia="Avenir" w:hAnsi="Avenir" w:cs="Avenir"/>
            <w:color w:val="auto"/>
            <w:lang w:val="en-GB"/>
          </w:rPr>
          <w:t>https://api.open.fec.gov/developers</w:t>
        </w:r>
      </w:hyperlink>
      <w:r w:rsidRPr="00171C2D">
        <w:rPr>
          <w:rFonts w:ascii="Avenir" w:eastAsia="Avenir" w:hAnsi="Avenir" w:cs="Avenir"/>
          <w:lang w:val="en-GB"/>
        </w:rPr>
        <w:t>&gt;, accessed 11 March 2022</w:t>
      </w:r>
    </w:p>
    <w:p w14:paraId="6CEBDD8D" w14:textId="77777777" w:rsidR="00B556DE" w:rsidRPr="00171C2D" w:rsidRDefault="00B556DE">
      <w:pPr>
        <w:jc w:val="both"/>
        <w:rPr>
          <w:rFonts w:ascii="Avenir" w:eastAsia="Avenir" w:hAnsi="Avenir" w:cs="Avenir"/>
          <w:lang w:val="en-GB"/>
        </w:rPr>
      </w:pPr>
    </w:p>
    <w:p w14:paraId="2F9F5658" w14:textId="69D49439" w:rsidR="00B556DE" w:rsidRPr="00171C2D" w:rsidRDefault="000D6BB0">
      <w:pPr>
        <w:jc w:val="both"/>
        <w:rPr>
          <w:rFonts w:ascii="Avenir" w:eastAsia="Avenir" w:hAnsi="Avenir" w:cs="Avenir"/>
          <w:lang w:val="en-GB"/>
        </w:rPr>
      </w:pPr>
      <w:proofErr w:type="spellStart"/>
      <w:r w:rsidRPr="00171C2D">
        <w:rPr>
          <w:rFonts w:ascii="Avenir" w:eastAsia="Avenir" w:hAnsi="Avenir" w:cs="Avenir"/>
          <w:lang w:val="en-GB"/>
        </w:rPr>
        <w:t>Heerwig</w:t>
      </w:r>
      <w:proofErr w:type="spellEnd"/>
      <w:r w:rsidRPr="00171C2D">
        <w:rPr>
          <w:rFonts w:ascii="Avenir" w:eastAsia="Avenir" w:hAnsi="Avenir" w:cs="Avenir"/>
          <w:lang w:val="en-GB"/>
        </w:rPr>
        <w:t>, J. and Shaw, K., ‘Through a glass, darkly: The rhetoric and reality of campaign finance disclosure’</w:t>
      </w:r>
      <w:r w:rsidRPr="00171C2D">
        <w:rPr>
          <w:rFonts w:ascii="Avenir" w:eastAsia="Avenir" w:hAnsi="Avenir" w:cs="Avenir"/>
          <w:i/>
          <w:lang w:val="en-GB"/>
        </w:rPr>
        <w:t xml:space="preserve">, Georgetown Law Journal, </w:t>
      </w:r>
      <w:r w:rsidRPr="00171C2D">
        <w:rPr>
          <w:rFonts w:ascii="Avenir" w:eastAsia="Avenir" w:hAnsi="Avenir" w:cs="Avenir"/>
          <w:lang w:val="en-GB"/>
        </w:rPr>
        <w:t>102 (2014), pp.</w:t>
      </w:r>
      <w:r w:rsidR="00FA09F1" w:rsidRPr="00171C2D">
        <w:rPr>
          <w:rFonts w:ascii="Avenir" w:eastAsia="Avenir" w:hAnsi="Avenir" w:cs="Avenir"/>
          <w:lang w:val="en-GB"/>
        </w:rPr>
        <w:t> </w:t>
      </w:r>
      <w:r w:rsidRPr="00171C2D">
        <w:rPr>
          <w:rFonts w:ascii="Avenir" w:eastAsia="Avenir" w:hAnsi="Avenir" w:cs="Avenir"/>
          <w:lang w:val="en-GB"/>
        </w:rPr>
        <w:t>1443–500</w:t>
      </w:r>
      <w:r w:rsidR="003B6E50" w:rsidRPr="00171C2D">
        <w:rPr>
          <w:rFonts w:ascii="Avenir" w:eastAsia="Avenir" w:hAnsi="Avenir" w:cs="Avenir"/>
          <w:lang w:val="en-GB"/>
        </w:rPr>
        <w:t>, &lt;</w:t>
      </w:r>
      <w:hyperlink r:id="rId42" w:tgtFrame="_blank" w:history="1">
        <w:r w:rsidR="003B6E50" w:rsidRPr="00171C2D">
          <w:rPr>
            <w:rStyle w:val="Hyperlink"/>
            <w:color w:val="auto"/>
            <w:sz w:val="21"/>
            <w:szCs w:val="21"/>
          </w:rPr>
          <w:t>https://doi.org/10.2139/ssrn.2422602</w:t>
        </w:r>
      </w:hyperlink>
      <w:r w:rsidR="003B6E50" w:rsidRPr="00171C2D">
        <w:t>&gt;</w:t>
      </w:r>
    </w:p>
    <w:p w14:paraId="0EC04C02" w14:textId="77777777" w:rsidR="00B556DE" w:rsidRPr="00171C2D" w:rsidRDefault="000D6BB0">
      <w:pPr>
        <w:jc w:val="both"/>
        <w:rPr>
          <w:rFonts w:ascii="Avenir" w:eastAsia="Avenir" w:hAnsi="Avenir" w:cs="Avenir"/>
          <w:iCs/>
          <w:lang w:val="en-GB"/>
        </w:rPr>
      </w:pPr>
      <w:r w:rsidRPr="00171C2D">
        <w:rPr>
          <w:rFonts w:ascii="Avenir" w:eastAsia="Avenir" w:hAnsi="Avenir" w:cs="Avenir"/>
          <w:iCs/>
          <w:lang w:val="en-GB"/>
        </w:rPr>
        <w:t xml:space="preserve"> </w:t>
      </w:r>
    </w:p>
    <w:p w14:paraId="02309AA2" w14:textId="04DD7F14"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Hill, S., </w:t>
      </w:r>
      <w:r w:rsidRPr="00171C2D">
        <w:rPr>
          <w:rFonts w:ascii="Avenir" w:eastAsia="Avenir" w:hAnsi="Avenir" w:cs="Avenir"/>
          <w:iCs/>
          <w:lang w:val="en-GB"/>
        </w:rPr>
        <w:t>My Little Crony</w:t>
      </w:r>
      <w:r w:rsidR="0036400F" w:rsidRPr="00171C2D">
        <w:rPr>
          <w:rFonts w:ascii="Avenir" w:eastAsia="Avenir" w:hAnsi="Avenir" w:cs="Avenir"/>
          <w:lang w:val="en-GB"/>
        </w:rPr>
        <w:t xml:space="preserve">, </w:t>
      </w:r>
      <w:r w:rsidRPr="00171C2D">
        <w:rPr>
          <w:rFonts w:ascii="Avenir" w:eastAsia="Avenir" w:hAnsi="Avenir" w:cs="Avenir"/>
          <w:lang w:val="en-GB"/>
        </w:rPr>
        <w:t>2021,</w:t>
      </w:r>
      <w:hyperlink r:id="rId43">
        <w:r w:rsidRPr="00171C2D">
          <w:rPr>
            <w:rFonts w:ascii="Avenir" w:eastAsia="Avenir" w:hAnsi="Avenir" w:cs="Avenir"/>
            <w:lang w:val="en-GB"/>
          </w:rPr>
          <w:t xml:space="preserve"> </w:t>
        </w:r>
      </w:hyperlink>
      <w:r w:rsidRPr="00171C2D">
        <w:rPr>
          <w:rFonts w:ascii="Avenir" w:eastAsia="Avenir" w:hAnsi="Avenir" w:cs="Avenir"/>
          <w:lang w:val="en-GB"/>
        </w:rPr>
        <w:t>&lt;</w:t>
      </w:r>
      <w:r w:rsidRPr="00171C2D">
        <w:t>https://www.sophie-e-hill.com/post/my-little-crony/</w:t>
      </w:r>
      <w:r w:rsidRPr="00171C2D">
        <w:rPr>
          <w:rFonts w:ascii="Avenir" w:eastAsia="Avenir" w:hAnsi="Avenir" w:cs="Avenir"/>
          <w:lang w:val="en-GB"/>
        </w:rPr>
        <w:t>&gt;, accessed 11 March 2022</w:t>
      </w:r>
    </w:p>
    <w:p w14:paraId="1DA8EB48" w14:textId="77777777" w:rsidR="00B556DE" w:rsidRPr="00171C2D" w:rsidRDefault="000D6BB0">
      <w:pPr>
        <w:jc w:val="both"/>
        <w:rPr>
          <w:rFonts w:ascii="Avenir" w:eastAsia="Avenir" w:hAnsi="Avenir" w:cs="Avenir"/>
          <w:i/>
          <w:lang w:val="en-GB"/>
        </w:rPr>
      </w:pPr>
      <w:r w:rsidRPr="00171C2D">
        <w:rPr>
          <w:rFonts w:ascii="Avenir" w:eastAsia="Avenir" w:hAnsi="Avenir" w:cs="Avenir"/>
          <w:i/>
          <w:lang w:val="en-GB"/>
        </w:rPr>
        <w:t xml:space="preserve"> </w:t>
      </w:r>
    </w:p>
    <w:p w14:paraId="7456E5FF" w14:textId="6355942B"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International IDEA, </w:t>
      </w:r>
      <w:r w:rsidRPr="00171C2D">
        <w:rPr>
          <w:rFonts w:ascii="Avenir" w:eastAsia="Avenir" w:hAnsi="Avenir" w:cs="Avenir"/>
          <w:i/>
          <w:lang w:val="en-GB"/>
        </w:rPr>
        <w:t>Political Finance Database</w:t>
      </w:r>
      <w:r w:rsidR="00FA09F1" w:rsidRPr="00171C2D">
        <w:rPr>
          <w:rFonts w:ascii="Avenir" w:eastAsia="Avenir" w:hAnsi="Avenir" w:cs="Avenir"/>
          <w:iCs/>
          <w:lang w:val="en-GB"/>
        </w:rPr>
        <w:t>,</w:t>
      </w:r>
      <w:r w:rsidRPr="00171C2D">
        <w:rPr>
          <w:rFonts w:ascii="Avenir" w:eastAsia="Avenir" w:hAnsi="Avenir" w:cs="Avenir"/>
          <w:iCs/>
          <w:lang w:val="en-GB"/>
        </w:rPr>
        <w:t xml:space="preserve"> </w:t>
      </w:r>
      <w:r w:rsidR="00FA09F1" w:rsidRPr="00171C2D">
        <w:rPr>
          <w:rFonts w:ascii="Avenir" w:eastAsia="Avenir" w:hAnsi="Avenir" w:cs="Avenir"/>
          <w:iCs/>
          <w:lang w:val="en-GB"/>
        </w:rPr>
        <w:t>[</w:t>
      </w:r>
      <w:r w:rsidRPr="00171C2D">
        <w:rPr>
          <w:rFonts w:ascii="Avenir" w:eastAsia="Avenir" w:hAnsi="Avenir" w:cs="Avenir"/>
          <w:iCs/>
          <w:lang w:val="en-GB"/>
        </w:rPr>
        <w:t>n.d.</w:t>
      </w:r>
      <w:r w:rsidR="00FA09F1" w:rsidRPr="00171C2D">
        <w:rPr>
          <w:rFonts w:ascii="Avenir" w:eastAsia="Avenir" w:hAnsi="Avenir" w:cs="Avenir"/>
          <w:iCs/>
          <w:lang w:val="en-GB"/>
        </w:rPr>
        <w:t>]</w:t>
      </w:r>
      <w:r w:rsidRPr="00171C2D">
        <w:rPr>
          <w:rFonts w:ascii="Avenir" w:eastAsia="Avenir" w:hAnsi="Avenir" w:cs="Avenir"/>
          <w:lang w:val="en-GB"/>
        </w:rPr>
        <w:t>,</w:t>
      </w:r>
      <w:hyperlink r:id="rId44">
        <w:r w:rsidRPr="00171C2D">
          <w:rPr>
            <w:rFonts w:ascii="Avenir" w:eastAsia="Avenir" w:hAnsi="Avenir" w:cs="Avenir"/>
            <w:lang w:val="en-GB"/>
          </w:rPr>
          <w:t xml:space="preserve"> </w:t>
        </w:r>
      </w:hyperlink>
      <w:r w:rsidRPr="00171C2D">
        <w:rPr>
          <w:rFonts w:ascii="Avenir" w:eastAsia="Avenir" w:hAnsi="Avenir" w:cs="Avenir"/>
          <w:lang w:val="en-GB"/>
        </w:rPr>
        <w:t>&lt;</w:t>
      </w:r>
      <w:hyperlink r:id="rId45" w:history="1">
        <w:r w:rsidRPr="00171C2D">
          <w:rPr>
            <w:rStyle w:val="Hyperlink"/>
            <w:rFonts w:ascii="Avenir" w:eastAsia="Avenir" w:hAnsi="Avenir" w:cs="Avenir"/>
            <w:color w:val="auto"/>
            <w:lang w:val="en-GB"/>
          </w:rPr>
          <w:t>https://www.idea.int/data-tools/question-view/567</w:t>
        </w:r>
      </w:hyperlink>
      <w:r w:rsidRPr="00171C2D">
        <w:rPr>
          <w:rFonts w:ascii="Avenir" w:eastAsia="Avenir" w:hAnsi="Avenir" w:cs="Avenir"/>
          <w:lang w:val="en-GB"/>
        </w:rPr>
        <w:t>&gt;, accessed 14 March 2022</w:t>
      </w:r>
    </w:p>
    <w:p w14:paraId="44C26B5C" w14:textId="77777777"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 </w:t>
      </w:r>
    </w:p>
    <w:p w14:paraId="719D8ED9" w14:textId="2A501F24" w:rsidR="00B556DE" w:rsidRPr="00171C2D" w:rsidRDefault="000D6BB0">
      <w:pPr>
        <w:jc w:val="both"/>
        <w:rPr>
          <w:rFonts w:ascii="Avenir" w:eastAsia="Avenir" w:hAnsi="Avenir" w:cs="Avenir"/>
          <w:lang w:val="en-GB"/>
        </w:rPr>
      </w:pPr>
      <w:r w:rsidRPr="00171C2D">
        <w:rPr>
          <w:rFonts w:ascii="Avenir" w:eastAsia="Avenir" w:hAnsi="Avenir" w:cs="Avenir"/>
          <w:lang w:val="en-GB"/>
        </w:rPr>
        <w:t>Macintyre, A., ‘</w:t>
      </w:r>
      <w:r w:rsidRPr="00171C2D">
        <w:rPr>
          <w:rFonts w:ascii="Avenir" w:eastAsia="Avenir" w:hAnsi="Avenir" w:cs="Avenir"/>
          <w:iCs/>
          <w:lang w:val="en-GB"/>
        </w:rPr>
        <w:t>Who’s working for your vote?’ (Berlin: Tactical Tech, 2018),</w:t>
      </w:r>
      <w:hyperlink r:id="rId46">
        <w:r w:rsidRPr="00171C2D">
          <w:rPr>
            <w:rStyle w:val="Hyperlink"/>
            <w:iCs/>
            <w:color w:val="auto"/>
          </w:rPr>
          <w:t xml:space="preserve"> </w:t>
        </w:r>
      </w:hyperlink>
      <w:r w:rsidRPr="00171C2D">
        <w:rPr>
          <w:rFonts w:ascii="Avenir" w:eastAsia="Avenir" w:hAnsi="Avenir" w:cs="Avenir"/>
          <w:iCs/>
          <w:lang w:val="en-GB"/>
        </w:rPr>
        <w:t>&lt;</w:t>
      </w:r>
      <w:hyperlink r:id="rId47" w:history="1">
        <w:r w:rsidRPr="00171C2D">
          <w:rPr>
            <w:rStyle w:val="Hyperlink"/>
            <w:rFonts w:ascii="Avenir" w:eastAsia="Avenir" w:hAnsi="Avenir" w:cs="Avenir"/>
            <w:color w:val="auto"/>
            <w:lang w:val="en-GB"/>
          </w:rPr>
          <w:t>https://ourdataourselves.tacticaltech.org/posts/whos-working-for-vote</w:t>
        </w:r>
      </w:hyperlink>
      <w:r w:rsidRPr="00171C2D">
        <w:rPr>
          <w:rFonts w:ascii="Avenir" w:eastAsia="Avenir" w:hAnsi="Avenir" w:cs="Avenir"/>
          <w:lang w:val="en-GB"/>
        </w:rPr>
        <w:t>&gt;, accessed 14 March 2022</w:t>
      </w:r>
    </w:p>
    <w:p w14:paraId="447E0049" w14:textId="77777777"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 </w:t>
      </w:r>
    </w:p>
    <w:p w14:paraId="30DDC843" w14:textId="3BC83C79" w:rsidR="00B556DE" w:rsidRPr="00171C2D" w:rsidRDefault="0034687A">
      <w:pPr>
        <w:jc w:val="both"/>
        <w:rPr>
          <w:rFonts w:ascii="Avenir" w:eastAsia="Avenir" w:hAnsi="Avenir" w:cs="Avenir"/>
          <w:lang w:val="en-GB"/>
        </w:rPr>
      </w:pPr>
      <w:r w:rsidRPr="00171C2D">
        <w:rPr>
          <w:rFonts w:ascii="Cambria" w:eastAsia="Avenir" w:hAnsi="Cambria" w:cs="Avenir"/>
          <w:lang w:val="en-GB"/>
        </w:rPr>
        <w:lastRenderedPageBreak/>
        <w:t>—</w:t>
      </w:r>
      <w:r w:rsidR="000D6BB0" w:rsidRPr="00171C2D">
        <w:rPr>
          <w:rFonts w:ascii="Avenir" w:eastAsia="Avenir" w:hAnsi="Avenir" w:cs="Avenir"/>
          <w:lang w:val="en-GB"/>
        </w:rPr>
        <w:t>, ‘</w:t>
      </w:r>
      <w:r w:rsidR="000D6BB0" w:rsidRPr="00171C2D">
        <w:rPr>
          <w:rFonts w:ascii="Avenir" w:eastAsia="Avenir" w:hAnsi="Avenir" w:cs="Avenir"/>
          <w:iCs/>
          <w:lang w:val="en-GB"/>
        </w:rPr>
        <w:t>The influence industry long list’ (Berlin: Tactical Tech, 2021)</w:t>
      </w:r>
      <w:r w:rsidR="000D6BB0" w:rsidRPr="00171C2D">
        <w:rPr>
          <w:rFonts w:ascii="Avenir" w:eastAsia="Avenir" w:hAnsi="Avenir" w:cs="Avenir"/>
          <w:lang w:val="en-GB"/>
        </w:rPr>
        <w:t>,</w:t>
      </w:r>
      <w:hyperlink r:id="rId48">
        <w:r w:rsidR="000D6BB0" w:rsidRPr="00171C2D">
          <w:rPr>
            <w:rFonts w:ascii="Avenir" w:eastAsia="Avenir" w:hAnsi="Avenir" w:cs="Avenir"/>
            <w:lang w:val="en-GB"/>
          </w:rPr>
          <w:t xml:space="preserve"> </w:t>
        </w:r>
      </w:hyperlink>
      <w:r w:rsidR="000D6BB0" w:rsidRPr="00171C2D">
        <w:rPr>
          <w:rFonts w:ascii="Avenir" w:eastAsia="Avenir" w:hAnsi="Avenir" w:cs="Avenir"/>
          <w:lang w:val="en-GB"/>
        </w:rPr>
        <w:t>&lt;</w:t>
      </w:r>
      <w:hyperlink r:id="rId49" w:history="1">
        <w:r w:rsidR="000D6BB0" w:rsidRPr="00171C2D">
          <w:rPr>
            <w:rStyle w:val="Hyperlink"/>
            <w:rFonts w:ascii="Avenir" w:eastAsia="Avenir" w:hAnsi="Avenir" w:cs="Avenir"/>
            <w:color w:val="auto"/>
            <w:lang w:val="en-GB"/>
          </w:rPr>
          <w:t>https://ourdataourselves.tacticaltech.org/posts/the-influence-industry-long-list</w:t>
        </w:r>
      </w:hyperlink>
      <w:r w:rsidR="000D6BB0" w:rsidRPr="00171C2D">
        <w:rPr>
          <w:rFonts w:ascii="Avenir" w:eastAsia="Avenir" w:hAnsi="Avenir" w:cs="Avenir"/>
          <w:lang w:val="en-GB"/>
        </w:rPr>
        <w:t>&gt;, accessed 14 March 2022</w:t>
      </w:r>
    </w:p>
    <w:p w14:paraId="475880B7" w14:textId="77777777"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 </w:t>
      </w:r>
    </w:p>
    <w:p w14:paraId="294EC62C" w14:textId="189425A8" w:rsidR="00B556DE" w:rsidRPr="00171C2D" w:rsidRDefault="000D6BB0">
      <w:pPr>
        <w:jc w:val="both"/>
        <w:rPr>
          <w:rFonts w:ascii="Avenir" w:eastAsia="Avenir" w:hAnsi="Avenir" w:cs="Avenir"/>
          <w:lang w:val="en-GB"/>
        </w:rPr>
      </w:pPr>
      <w:proofErr w:type="spellStart"/>
      <w:r w:rsidRPr="00171C2D">
        <w:rPr>
          <w:rFonts w:ascii="Avenir" w:eastAsia="Avenir" w:hAnsi="Avenir" w:cs="Avenir"/>
          <w:lang w:val="en-GB"/>
        </w:rPr>
        <w:t>Nassmacher</w:t>
      </w:r>
      <w:proofErr w:type="spellEnd"/>
      <w:r w:rsidRPr="00171C2D">
        <w:rPr>
          <w:rFonts w:ascii="Avenir" w:eastAsia="Avenir" w:hAnsi="Avenir" w:cs="Avenir"/>
          <w:lang w:val="en-GB"/>
        </w:rPr>
        <w:t xml:space="preserve">, K.-H., ‘Monitoring, Control and Enforcement of Political Finance Regulation’, in R. Austin and M. </w:t>
      </w:r>
      <w:proofErr w:type="spellStart"/>
      <w:r w:rsidRPr="00171C2D">
        <w:rPr>
          <w:rFonts w:ascii="Avenir" w:eastAsia="Avenir" w:hAnsi="Avenir" w:cs="Avenir"/>
          <w:lang w:val="en-GB"/>
        </w:rPr>
        <w:t>Tjernstrom</w:t>
      </w:r>
      <w:proofErr w:type="spellEnd"/>
      <w:r w:rsidRPr="00171C2D">
        <w:rPr>
          <w:rFonts w:ascii="Avenir" w:eastAsia="Avenir" w:hAnsi="Avenir" w:cs="Avenir"/>
          <w:lang w:val="en-GB"/>
        </w:rPr>
        <w:t xml:space="preserve">, </w:t>
      </w:r>
      <w:r w:rsidRPr="00171C2D">
        <w:rPr>
          <w:rFonts w:ascii="Avenir" w:eastAsia="Avenir" w:hAnsi="Avenir" w:cs="Avenir"/>
          <w:i/>
          <w:iCs/>
          <w:lang w:val="en-GB"/>
        </w:rPr>
        <w:t xml:space="preserve">Funding of </w:t>
      </w:r>
      <w:r w:rsidR="005B2EB9" w:rsidRPr="00171C2D">
        <w:rPr>
          <w:rFonts w:ascii="Avenir" w:eastAsia="Avenir" w:hAnsi="Avenir" w:cs="Avenir"/>
          <w:i/>
          <w:iCs/>
          <w:lang w:val="en-GB"/>
        </w:rPr>
        <w:t xml:space="preserve">Political </w:t>
      </w:r>
      <w:r w:rsidRPr="00171C2D">
        <w:rPr>
          <w:rFonts w:ascii="Avenir" w:eastAsia="Avenir" w:hAnsi="Avenir" w:cs="Avenir"/>
          <w:i/>
          <w:iCs/>
          <w:lang w:val="en-GB"/>
        </w:rPr>
        <w:t>Parties and Election Campaigns</w:t>
      </w:r>
      <w:r w:rsidR="0083419D" w:rsidRPr="00171C2D">
        <w:rPr>
          <w:rFonts w:ascii="Avenir" w:eastAsia="Avenir" w:hAnsi="Avenir" w:cs="Avenir"/>
          <w:lang w:val="en-GB"/>
        </w:rPr>
        <w:t>, Handbook series</w:t>
      </w:r>
      <w:r w:rsidRPr="00171C2D">
        <w:rPr>
          <w:rFonts w:ascii="Avenir" w:eastAsia="Avenir" w:hAnsi="Avenir" w:cs="Avenir"/>
          <w:i/>
          <w:iCs/>
          <w:lang w:val="en-GB"/>
        </w:rPr>
        <w:t xml:space="preserve"> </w:t>
      </w:r>
      <w:r w:rsidRPr="00171C2D">
        <w:rPr>
          <w:rFonts w:ascii="Avenir" w:eastAsia="Avenir" w:hAnsi="Avenir" w:cs="Avenir"/>
          <w:lang w:val="en-GB"/>
        </w:rPr>
        <w:t>(Stockholm: International IDEA, 2003)</w:t>
      </w:r>
    </w:p>
    <w:p w14:paraId="4E1549B8" w14:textId="77777777"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 </w:t>
      </w:r>
    </w:p>
    <w:p w14:paraId="21B9F97A" w14:textId="7F9BEB9D" w:rsidR="00B556DE" w:rsidRPr="00171C2D" w:rsidRDefault="000D6BB0">
      <w:pPr>
        <w:jc w:val="both"/>
        <w:rPr>
          <w:rFonts w:ascii="Avenir" w:eastAsia="Avenir" w:hAnsi="Avenir" w:cs="Avenir"/>
          <w:lang w:val="en-GB"/>
        </w:rPr>
      </w:pPr>
      <w:proofErr w:type="spellStart"/>
      <w:r w:rsidRPr="00171C2D">
        <w:rPr>
          <w:rFonts w:ascii="Avenir" w:eastAsia="Avenir" w:hAnsi="Avenir" w:cs="Avenir"/>
          <w:lang w:val="en-GB"/>
        </w:rPr>
        <w:t>Pogrund</w:t>
      </w:r>
      <w:proofErr w:type="spellEnd"/>
      <w:r w:rsidRPr="00171C2D">
        <w:rPr>
          <w:rFonts w:ascii="Avenir" w:eastAsia="Avenir" w:hAnsi="Avenir" w:cs="Avenir"/>
          <w:lang w:val="en-GB"/>
        </w:rPr>
        <w:t xml:space="preserve">, G. and Maguire, P., </w:t>
      </w:r>
      <w:r w:rsidRPr="00171C2D">
        <w:rPr>
          <w:rFonts w:ascii="Avenir" w:eastAsia="Avenir" w:hAnsi="Avenir" w:cs="Avenir"/>
          <w:i/>
          <w:lang w:val="en-GB"/>
        </w:rPr>
        <w:t>Left Out: The Inside Story of Labour Under Corbyn</w:t>
      </w:r>
      <w:r w:rsidRPr="00171C2D">
        <w:rPr>
          <w:rFonts w:ascii="Avenir" w:eastAsia="Avenir" w:hAnsi="Avenir" w:cs="Avenir"/>
          <w:lang w:val="en-GB"/>
        </w:rPr>
        <w:t xml:space="preserve"> (London: Vintage Publishing, 2020)</w:t>
      </w:r>
    </w:p>
    <w:p w14:paraId="76A48ACB" w14:textId="77777777"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 </w:t>
      </w:r>
    </w:p>
    <w:p w14:paraId="216D86E8" w14:textId="007FE80C"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Power, S., </w:t>
      </w:r>
      <w:r w:rsidRPr="00171C2D">
        <w:rPr>
          <w:rFonts w:ascii="Avenir" w:eastAsia="Avenir" w:hAnsi="Avenir" w:cs="Avenir"/>
          <w:i/>
          <w:iCs/>
          <w:lang w:val="en-GB"/>
        </w:rPr>
        <w:t>Party</w:t>
      </w:r>
      <w:r w:rsidRPr="00171C2D">
        <w:rPr>
          <w:rFonts w:ascii="Avenir" w:eastAsia="Avenir" w:hAnsi="Avenir" w:cs="Avenir"/>
          <w:i/>
          <w:lang w:val="en-GB"/>
        </w:rPr>
        <w:t xml:space="preserve"> Funding and </w:t>
      </w:r>
      <w:r w:rsidRPr="00171C2D">
        <w:rPr>
          <w:rFonts w:ascii="Avenir" w:eastAsia="Avenir" w:hAnsi="Avenir" w:cs="Avenir"/>
          <w:lang w:val="en-GB"/>
        </w:rPr>
        <w:t>Corruption (Basingstoke: Palgrave MacMillan, 2020a)</w:t>
      </w:r>
      <w:r w:rsidR="004B7157" w:rsidRPr="00171C2D">
        <w:rPr>
          <w:rFonts w:ascii="Avenir" w:eastAsia="Avenir" w:hAnsi="Avenir" w:cs="Avenir"/>
          <w:lang w:val="en-GB"/>
        </w:rPr>
        <w:t>, &lt;</w:t>
      </w:r>
      <w:hyperlink r:id="rId50" w:tgtFrame="_blank" w:history="1">
        <w:r w:rsidR="004B7157" w:rsidRPr="00171C2D">
          <w:rPr>
            <w:rStyle w:val="Hyperlink"/>
            <w:color w:val="auto"/>
            <w:sz w:val="21"/>
            <w:szCs w:val="21"/>
          </w:rPr>
          <w:t>https://doi.org/10.1007/978-3-030-37580-5</w:t>
        </w:r>
      </w:hyperlink>
      <w:r w:rsidR="004B7157" w:rsidRPr="00171C2D">
        <w:t>&gt;</w:t>
      </w:r>
    </w:p>
    <w:p w14:paraId="01DD412F" w14:textId="77777777" w:rsidR="00B556DE" w:rsidRPr="00171C2D" w:rsidRDefault="00B556DE">
      <w:pPr>
        <w:jc w:val="both"/>
        <w:rPr>
          <w:rFonts w:ascii="Avenir" w:eastAsia="Avenir" w:hAnsi="Avenir" w:cs="Avenir"/>
          <w:lang w:val="en-GB"/>
        </w:rPr>
      </w:pPr>
    </w:p>
    <w:p w14:paraId="201A65D1" w14:textId="188FF936" w:rsidR="00B556DE" w:rsidRPr="00171C2D" w:rsidRDefault="00A97244">
      <w:pPr>
        <w:jc w:val="both"/>
        <w:rPr>
          <w:rFonts w:ascii="Avenir" w:eastAsia="Avenir" w:hAnsi="Avenir" w:cs="Avenir"/>
          <w:lang w:val="en-GB"/>
        </w:rPr>
      </w:pPr>
      <w:r w:rsidRPr="00171C2D">
        <w:rPr>
          <w:rFonts w:ascii="Cambria" w:eastAsia="Avenir" w:hAnsi="Cambria" w:cs="Avenir"/>
          <w:lang w:val="en-GB"/>
        </w:rPr>
        <w:t>—</w:t>
      </w:r>
      <w:r w:rsidR="000D6BB0" w:rsidRPr="00171C2D">
        <w:rPr>
          <w:rFonts w:ascii="Avenir" w:eastAsia="Avenir" w:hAnsi="Avenir" w:cs="Avenir"/>
          <w:lang w:val="en-GB"/>
        </w:rPr>
        <w:t xml:space="preserve">, ‘The transparency paradox: Why transparency alone will not improve campaign regulations’, </w:t>
      </w:r>
      <w:r w:rsidR="000D6BB0" w:rsidRPr="00171C2D">
        <w:rPr>
          <w:rFonts w:ascii="Avenir" w:eastAsia="Avenir" w:hAnsi="Avenir" w:cs="Avenir"/>
          <w:i/>
          <w:iCs/>
          <w:lang w:val="en-GB"/>
        </w:rPr>
        <w:t>The Political Quarterly</w:t>
      </w:r>
      <w:r w:rsidR="000D6BB0" w:rsidRPr="00171C2D">
        <w:rPr>
          <w:rFonts w:ascii="Avenir" w:eastAsia="Avenir" w:hAnsi="Avenir" w:cs="Avenir"/>
          <w:lang w:val="en-GB"/>
        </w:rPr>
        <w:t>, 91/4 (2020b), pp.</w:t>
      </w:r>
      <w:r w:rsidRPr="00171C2D">
        <w:rPr>
          <w:rFonts w:ascii="Avenir" w:eastAsia="Avenir" w:hAnsi="Avenir" w:cs="Avenir"/>
          <w:lang w:val="en-GB"/>
        </w:rPr>
        <w:t> </w:t>
      </w:r>
      <w:r w:rsidR="000D6BB0" w:rsidRPr="00171C2D">
        <w:rPr>
          <w:rFonts w:ascii="Avenir" w:eastAsia="Avenir" w:hAnsi="Avenir" w:cs="Avenir"/>
          <w:lang w:val="en-GB"/>
        </w:rPr>
        <w:t>731–38</w:t>
      </w:r>
      <w:r w:rsidRPr="00171C2D">
        <w:rPr>
          <w:rFonts w:ascii="Avenir" w:eastAsia="Avenir" w:hAnsi="Avenir" w:cs="Avenir"/>
          <w:lang w:val="en-GB"/>
        </w:rPr>
        <w:t>, &lt;</w:t>
      </w:r>
      <w:hyperlink r:id="rId51" w:tgtFrame="_blank" w:history="1">
        <w:r w:rsidRPr="00171C2D">
          <w:rPr>
            <w:rStyle w:val="Hyperlink"/>
            <w:color w:val="auto"/>
            <w:sz w:val="21"/>
            <w:szCs w:val="21"/>
          </w:rPr>
          <w:t>https://doi.org/10.1111/1467-923X.12886</w:t>
        </w:r>
      </w:hyperlink>
      <w:r w:rsidRPr="00171C2D">
        <w:t>&gt;</w:t>
      </w:r>
    </w:p>
    <w:p w14:paraId="2FC0D02E" w14:textId="77777777"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 </w:t>
      </w:r>
    </w:p>
    <w:p w14:paraId="12FF499C" w14:textId="5917149F"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Ross, T., </w:t>
      </w:r>
      <w:r w:rsidRPr="00171C2D">
        <w:rPr>
          <w:rFonts w:ascii="Avenir" w:eastAsia="Avenir" w:hAnsi="Avenir" w:cs="Avenir"/>
          <w:i/>
          <w:lang w:val="en-GB"/>
        </w:rPr>
        <w:t>Why the Tories Won: The Inside Story of the 2015 Election</w:t>
      </w:r>
      <w:r w:rsidRPr="00171C2D">
        <w:rPr>
          <w:rFonts w:ascii="Avenir" w:eastAsia="Avenir" w:hAnsi="Avenir" w:cs="Avenir"/>
          <w:lang w:val="en-GB"/>
        </w:rPr>
        <w:t xml:space="preserve"> (London: </w:t>
      </w:r>
      <w:proofErr w:type="spellStart"/>
      <w:r w:rsidRPr="00171C2D">
        <w:rPr>
          <w:rFonts w:ascii="Avenir" w:eastAsia="Avenir" w:hAnsi="Avenir" w:cs="Avenir"/>
          <w:lang w:val="en-GB"/>
        </w:rPr>
        <w:t>Biteback</w:t>
      </w:r>
      <w:proofErr w:type="spellEnd"/>
      <w:r w:rsidRPr="00171C2D">
        <w:rPr>
          <w:rFonts w:ascii="Avenir" w:eastAsia="Avenir" w:hAnsi="Avenir" w:cs="Avenir"/>
          <w:lang w:val="en-GB"/>
        </w:rPr>
        <w:t xml:space="preserve"> Publishing, 2015)</w:t>
      </w:r>
    </w:p>
    <w:p w14:paraId="66B7916E" w14:textId="77777777" w:rsidR="00B556DE" w:rsidRPr="00171C2D" w:rsidRDefault="00B556DE">
      <w:pPr>
        <w:jc w:val="both"/>
        <w:rPr>
          <w:rFonts w:ascii="Avenir" w:eastAsia="Avenir" w:hAnsi="Avenir" w:cs="Avenir"/>
          <w:lang w:val="en-GB"/>
        </w:rPr>
      </w:pPr>
    </w:p>
    <w:p w14:paraId="2B5305CC" w14:textId="6EB0889C" w:rsidR="00B556DE" w:rsidRPr="00171C2D" w:rsidRDefault="000D6BB0">
      <w:pPr>
        <w:jc w:val="both"/>
        <w:rPr>
          <w:rFonts w:ascii="Avenir" w:eastAsia="Avenir" w:hAnsi="Avenir" w:cs="Avenir"/>
          <w:lang w:val="en-GB"/>
        </w:rPr>
      </w:pPr>
      <w:r w:rsidRPr="00171C2D">
        <w:rPr>
          <w:rFonts w:ascii="Avenir" w:eastAsia="Avenir" w:hAnsi="Avenir" w:cs="Avenir"/>
          <w:lang w:val="en-GB"/>
        </w:rPr>
        <w:t>Shaw, K., ‘Reorienting Disclosure Debates in a Post-</w:t>
      </w:r>
      <w:r w:rsidRPr="00171C2D">
        <w:rPr>
          <w:rFonts w:ascii="Avenir" w:eastAsia="Avenir" w:hAnsi="Avenir" w:cs="Avenir"/>
          <w:i/>
          <w:iCs/>
          <w:lang w:val="en-GB"/>
        </w:rPr>
        <w:t>Citizens United</w:t>
      </w:r>
      <w:r w:rsidRPr="00171C2D">
        <w:rPr>
          <w:rFonts w:ascii="Avenir" w:eastAsia="Avenir" w:hAnsi="Avenir" w:cs="Avenir"/>
          <w:lang w:val="en-GB"/>
        </w:rPr>
        <w:t xml:space="preserve"> World’, in E. </w:t>
      </w:r>
      <w:proofErr w:type="spellStart"/>
      <w:r w:rsidRPr="00171C2D">
        <w:rPr>
          <w:rFonts w:ascii="Avenir" w:eastAsia="Avenir" w:hAnsi="Avenir" w:cs="Avenir"/>
          <w:lang w:val="en-GB"/>
        </w:rPr>
        <w:t>Mazo</w:t>
      </w:r>
      <w:proofErr w:type="spellEnd"/>
      <w:r w:rsidRPr="00171C2D">
        <w:rPr>
          <w:rFonts w:ascii="Avenir" w:eastAsia="Avenir" w:hAnsi="Avenir" w:cs="Avenir"/>
          <w:lang w:val="en-GB"/>
        </w:rPr>
        <w:t xml:space="preserve"> and T. </w:t>
      </w:r>
      <w:proofErr w:type="spellStart"/>
      <w:r w:rsidRPr="00171C2D">
        <w:rPr>
          <w:rFonts w:ascii="Avenir" w:eastAsia="Avenir" w:hAnsi="Avenir" w:cs="Avenir"/>
          <w:lang w:val="en-GB"/>
        </w:rPr>
        <w:t>Kuhner</w:t>
      </w:r>
      <w:proofErr w:type="spellEnd"/>
      <w:r w:rsidRPr="00171C2D">
        <w:rPr>
          <w:rFonts w:ascii="Avenir" w:eastAsia="Avenir" w:hAnsi="Avenir" w:cs="Avenir"/>
          <w:lang w:val="en-GB"/>
        </w:rPr>
        <w:t xml:space="preserve"> (eds), </w:t>
      </w:r>
      <w:r w:rsidRPr="00171C2D">
        <w:rPr>
          <w:rFonts w:ascii="Avenir" w:eastAsia="Avenir" w:hAnsi="Avenir" w:cs="Avenir"/>
          <w:i/>
          <w:lang w:val="en-GB"/>
        </w:rPr>
        <w:t>Democracy by the People</w:t>
      </w:r>
      <w:r w:rsidRPr="00171C2D">
        <w:rPr>
          <w:rFonts w:ascii="Avenir" w:eastAsia="Avenir" w:hAnsi="Avenir" w:cs="Avenir"/>
          <w:iCs/>
          <w:lang w:val="en-GB"/>
        </w:rPr>
        <w:t xml:space="preserve"> </w:t>
      </w:r>
      <w:r w:rsidRPr="00171C2D">
        <w:rPr>
          <w:rFonts w:ascii="Avenir" w:eastAsia="Avenir" w:hAnsi="Avenir" w:cs="Avenir"/>
          <w:lang w:val="en-GB"/>
        </w:rPr>
        <w:t>(Cambridge, UK: Cambridge University Press, 2018), pp.</w:t>
      </w:r>
      <w:r w:rsidR="00942BB5" w:rsidRPr="00171C2D">
        <w:rPr>
          <w:rFonts w:ascii="Avenir" w:eastAsia="Avenir" w:hAnsi="Avenir" w:cs="Avenir"/>
          <w:lang w:val="en-GB"/>
        </w:rPr>
        <w:t> </w:t>
      </w:r>
      <w:r w:rsidRPr="00171C2D">
        <w:rPr>
          <w:rFonts w:ascii="Avenir" w:eastAsia="Avenir" w:hAnsi="Avenir" w:cs="Avenir"/>
          <w:lang w:val="en-GB"/>
        </w:rPr>
        <w:t>153–71</w:t>
      </w:r>
      <w:r w:rsidR="00942BB5" w:rsidRPr="00171C2D">
        <w:rPr>
          <w:rFonts w:ascii="Avenir" w:eastAsia="Avenir" w:hAnsi="Avenir" w:cs="Avenir"/>
          <w:lang w:val="en-GB"/>
        </w:rPr>
        <w:t>, &lt;</w:t>
      </w:r>
      <w:hyperlink r:id="rId52" w:tgtFrame="_blank" w:history="1">
        <w:r w:rsidR="00942BB5" w:rsidRPr="00171C2D">
          <w:rPr>
            <w:rStyle w:val="Hyperlink"/>
            <w:color w:val="auto"/>
            <w:sz w:val="21"/>
            <w:szCs w:val="21"/>
          </w:rPr>
          <w:t>https://doi.org/10.1017/9781316822906.007</w:t>
        </w:r>
      </w:hyperlink>
      <w:r w:rsidR="00942BB5" w:rsidRPr="00171C2D">
        <w:t>&gt;</w:t>
      </w:r>
    </w:p>
    <w:p w14:paraId="2B123EF9" w14:textId="77777777"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 </w:t>
      </w:r>
    </w:p>
    <w:p w14:paraId="7606A474" w14:textId="205E4A2B" w:rsidR="00B556DE" w:rsidRPr="00171C2D" w:rsidRDefault="000D6BB0">
      <w:pPr>
        <w:jc w:val="both"/>
        <w:rPr>
          <w:rFonts w:ascii="Avenir" w:eastAsia="Avenir" w:hAnsi="Avenir" w:cs="Avenir"/>
          <w:lang w:val="en-GB"/>
        </w:rPr>
      </w:pPr>
      <w:proofErr w:type="spellStart"/>
      <w:r w:rsidRPr="00171C2D">
        <w:rPr>
          <w:rFonts w:ascii="Avenir" w:eastAsia="Avenir" w:hAnsi="Avenir" w:cs="Avenir"/>
          <w:lang w:val="en-GB"/>
        </w:rPr>
        <w:t>Uberoi</w:t>
      </w:r>
      <w:proofErr w:type="spellEnd"/>
      <w:r w:rsidR="0079620D" w:rsidRPr="00171C2D">
        <w:rPr>
          <w:rFonts w:ascii="Avenir" w:eastAsia="Avenir" w:hAnsi="Avenir" w:cs="Avenir"/>
          <w:lang w:val="en-GB"/>
        </w:rPr>
        <w:t>, E.</w:t>
      </w:r>
      <w:r w:rsidRPr="00171C2D">
        <w:rPr>
          <w:rFonts w:ascii="Avenir" w:eastAsia="Avenir" w:hAnsi="Avenir" w:cs="Avenir"/>
          <w:lang w:val="en-GB"/>
        </w:rPr>
        <w:t xml:space="preserve"> et al., </w:t>
      </w:r>
      <w:r w:rsidRPr="00171C2D">
        <w:rPr>
          <w:rFonts w:ascii="Avenir" w:eastAsia="Avenir" w:hAnsi="Avenir" w:cs="Avenir"/>
          <w:i/>
          <w:lang w:val="en-GB"/>
        </w:rPr>
        <w:t>General Election 2019: Results and Analysis</w:t>
      </w:r>
      <w:r w:rsidRPr="00171C2D">
        <w:rPr>
          <w:rFonts w:ascii="Avenir" w:eastAsia="Avenir" w:hAnsi="Avenir" w:cs="Avenir"/>
          <w:iCs/>
          <w:lang w:val="en-GB"/>
        </w:rPr>
        <w:t>, Briefing Paper No. CBP 8749 (London: House of Commons Library, 2020)</w:t>
      </w:r>
      <w:r w:rsidRPr="00171C2D">
        <w:rPr>
          <w:rFonts w:ascii="Avenir" w:eastAsia="Avenir" w:hAnsi="Avenir" w:cs="Avenir"/>
          <w:i/>
          <w:lang w:val="en-GB"/>
        </w:rPr>
        <w:t>,</w:t>
      </w:r>
      <w:hyperlink r:id="rId53">
        <w:r w:rsidRPr="00171C2D">
          <w:rPr>
            <w:rFonts w:ascii="Avenir" w:eastAsia="Avenir" w:hAnsi="Avenir" w:cs="Avenir"/>
            <w:lang w:val="en-GB"/>
          </w:rPr>
          <w:t xml:space="preserve"> &lt;</w:t>
        </w:r>
      </w:hyperlink>
      <w:hyperlink r:id="rId54" w:history="1">
        <w:r w:rsidRPr="00171C2D">
          <w:rPr>
            <w:rStyle w:val="Hyperlink"/>
            <w:rFonts w:ascii="Avenir" w:eastAsia="Avenir" w:hAnsi="Avenir" w:cs="Avenir"/>
            <w:color w:val="auto"/>
            <w:lang w:val="en-GB"/>
          </w:rPr>
          <w:t>https://researchbriefings.files.parliament.uk/documents/CBP-8749/CBP-8749.pdf</w:t>
        </w:r>
      </w:hyperlink>
      <w:r w:rsidRPr="00171C2D">
        <w:rPr>
          <w:rFonts w:ascii="Avenir" w:eastAsia="Avenir" w:hAnsi="Avenir" w:cs="Avenir"/>
          <w:lang w:val="en-GB"/>
        </w:rPr>
        <w:t>&gt;, accessed 14 March 2022</w:t>
      </w:r>
    </w:p>
    <w:p w14:paraId="77DFF9B6" w14:textId="77777777"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 </w:t>
      </w:r>
    </w:p>
    <w:p w14:paraId="667BB9D2" w14:textId="2EB4ECCD" w:rsidR="00B556DE" w:rsidRPr="00171C2D" w:rsidRDefault="000D6BB0">
      <w:pPr>
        <w:jc w:val="both"/>
        <w:rPr>
          <w:rFonts w:ascii="Avenir" w:eastAsia="Avenir" w:hAnsi="Avenir" w:cs="Avenir"/>
          <w:u w:val="single"/>
          <w:lang w:val="en-GB"/>
        </w:rPr>
      </w:pPr>
      <w:r w:rsidRPr="00171C2D">
        <w:rPr>
          <w:rFonts w:ascii="Avenir" w:eastAsia="Avenir" w:hAnsi="Avenir" w:cs="Avenir"/>
          <w:lang w:val="en-GB"/>
        </w:rPr>
        <w:t xml:space="preserve">Webb, P. and Bale, T. </w:t>
      </w:r>
      <w:r w:rsidRPr="00171C2D">
        <w:rPr>
          <w:rFonts w:ascii="Avenir" w:eastAsia="Avenir" w:hAnsi="Avenir" w:cs="Avenir"/>
          <w:i/>
          <w:lang w:val="en-GB"/>
        </w:rPr>
        <w:t>The Modern British Party System</w:t>
      </w:r>
      <w:r w:rsidRPr="00171C2D">
        <w:rPr>
          <w:rFonts w:ascii="Avenir" w:eastAsia="Avenir" w:hAnsi="Avenir" w:cs="Avenir"/>
          <w:lang w:val="en-GB"/>
        </w:rPr>
        <w:t>, second edition (Oxford: Oxford University Press, 2021)</w:t>
      </w:r>
      <w:r w:rsidR="00000C2F" w:rsidRPr="00171C2D">
        <w:rPr>
          <w:rFonts w:ascii="Avenir" w:eastAsia="Avenir" w:hAnsi="Avenir" w:cs="Avenir"/>
          <w:lang w:val="en-GB"/>
        </w:rPr>
        <w:t>, &lt;</w:t>
      </w:r>
      <w:hyperlink r:id="rId55" w:tgtFrame="_blank" w:history="1">
        <w:r w:rsidR="00000C2F" w:rsidRPr="00171C2D">
          <w:rPr>
            <w:rStyle w:val="Hyperlink"/>
            <w:color w:val="auto"/>
            <w:sz w:val="21"/>
            <w:szCs w:val="21"/>
          </w:rPr>
          <w:t>https://doi.org/10.1093/oso/9780199217236.001.0001</w:t>
        </w:r>
      </w:hyperlink>
      <w:r w:rsidR="00000C2F" w:rsidRPr="00171C2D">
        <w:t>&gt;</w:t>
      </w:r>
    </w:p>
    <w:p w14:paraId="33948D20" w14:textId="77777777" w:rsidR="00B556DE" w:rsidRPr="00171C2D" w:rsidRDefault="00B556DE">
      <w:pPr>
        <w:jc w:val="both"/>
        <w:rPr>
          <w:rFonts w:ascii="Avenir" w:eastAsia="Avenir" w:hAnsi="Avenir" w:cs="Avenir"/>
          <w:u w:val="single"/>
          <w:lang w:val="en-GB"/>
        </w:rPr>
      </w:pPr>
    </w:p>
    <w:p w14:paraId="64F6C450" w14:textId="5DE0A992" w:rsidR="00B556DE" w:rsidRPr="00171C2D" w:rsidRDefault="000D6BB0">
      <w:pPr>
        <w:jc w:val="both"/>
        <w:rPr>
          <w:rFonts w:ascii="Avenir" w:eastAsia="Avenir" w:hAnsi="Avenir" w:cs="Avenir"/>
          <w:lang w:val="en-GB"/>
        </w:rPr>
      </w:pPr>
      <w:r w:rsidRPr="00171C2D">
        <w:rPr>
          <w:rFonts w:ascii="Avenir" w:eastAsia="Avenir" w:hAnsi="Avenir" w:cs="Avenir"/>
          <w:lang w:val="en-GB"/>
        </w:rPr>
        <w:t>White, I., ‘Regulation of candidates’ campaign expenditure: the long and short of it ...’, House of Commons Library, 14 January 2015, &lt;</w:t>
      </w:r>
      <w:hyperlink r:id="rId56" w:history="1">
        <w:r w:rsidRPr="00171C2D">
          <w:rPr>
            <w:rStyle w:val="Hyperlink"/>
            <w:color w:val="auto"/>
          </w:rPr>
          <w:t>https://commonslibrary.parliament.uk/regulation-of-candidates-campaign-expenditure-the-long-and-the-short-of-it</w:t>
        </w:r>
      </w:hyperlink>
      <w:r w:rsidRPr="00171C2D">
        <w:rPr>
          <w:rFonts w:ascii="Avenir" w:eastAsia="Avenir" w:hAnsi="Avenir" w:cs="Avenir"/>
          <w:lang w:val="en-GB"/>
        </w:rPr>
        <w:t>&gt;, accessed 11 March 2022</w:t>
      </w:r>
    </w:p>
    <w:p w14:paraId="69D61A09" w14:textId="77777777" w:rsidR="00B556DE" w:rsidRPr="00171C2D" w:rsidRDefault="00B556DE">
      <w:pPr>
        <w:jc w:val="both"/>
        <w:rPr>
          <w:rFonts w:ascii="Avenir" w:eastAsia="Avenir" w:hAnsi="Avenir" w:cs="Avenir"/>
          <w:u w:val="single"/>
          <w:lang w:val="en-GB"/>
        </w:rPr>
      </w:pPr>
    </w:p>
    <w:p w14:paraId="55B1B777" w14:textId="77777777" w:rsidR="00B556DE" w:rsidRPr="00171C2D" w:rsidRDefault="000D6BB0">
      <w:pPr>
        <w:rPr>
          <w:rFonts w:ascii="Avenir" w:eastAsia="Avenir" w:hAnsi="Avenir" w:cs="Avenir"/>
          <w:b/>
          <w:u w:val="single"/>
          <w:lang w:val="en-GB"/>
        </w:rPr>
      </w:pPr>
      <w:r w:rsidRPr="00171C2D">
        <w:br w:type="page"/>
      </w:r>
    </w:p>
    <w:p w14:paraId="1DD83529" w14:textId="77777777" w:rsidR="00B556DE" w:rsidRPr="00171C2D" w:rsidRDefault="000D6BB0">
      <w:pPr>
        <w:pStyle w:val="Heading2"/>
        <w:numPr>
          <w:ilvl w:val="0"/>
          <w:numId w:val="0"/>
        </w:numPr>
        <w:ind w:left="360" w:hanging="360"/>
        <w:rPr>
          <w:lang w:val="en-GB"/>
        </w:rPr>
      </w:pPr>
      <w:r w:rsidRPr="00171C2D">
        <w:rPr>
          <w:lang w:val="en-GB"/>
        </w:rPr>
        <w:lastRenderedPageBreak/>
        <w:t>Appendix: Methodology</w:t>
      </w:r>
    </w:p>
    <w:p w14:paraId="0A7C3313" w14:textId="77777777" w:rsidR="00B556DE" w:rsidRPr="00171C2D" w:rsidRDefault="00B556DE">
      <w:pPr>
        <w:rPr>
          <w:rFonts w:ascii="Avenir" w:eastAsia="Avenir" w:hAnsi="Avenir" w:cs="Avenir"/>
          <w:b/>
          <w:lang w:val="en-GB"/>
        </w:rPr>
      </w:pPr>
    </w:p>
    <w:p w14:paraId="59C016D3" w14:textId="25567ECC"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The report’s findings were based upon an analysis of political parties’ spending returns for the period of the 2019 UK General Election. Parties are required to declare all cases of campaign spending to the Electoral Commission, and to provide the invoices for all cases of spending with a given company that total over </w:t>
      </w:r>
      <w:r w:rsidR="009014F3">
        <w:rPr>
          <w:rFonts w:ascii="Avenir" w:eastAsia="Avenir" w:hAnsi="Avenir" w:cs="Avenir"/>
          <w:lang w:val="en-GB"/>
        </w:rPr>
        <w:t>GBP </w:t>
      </w:r>
      <w:r w:rsidRPr="00171C2D">
        <w:rPr>
          <w:rFonts w:ascii="Avenir" w:eastAsia="Avenir" w:hAnsi="Avenir" w:cs="Avenir"/>
          <w:lang w:val="en-GB"/>
        </w:rPr>
        <w:t xml:space="preserve">200. The Electoral Commission then makes these invoices available to download from its public database at: </w:t>
      </w:r>
      <w:r w:rsidR="004664E8">
        <w:rPr>
          <w:rFonts w:ascii="Avenir" w:eastAsia="Avenir" w:hAnsi="Avenir" w:cs="Avenir"/>
          <w:lang w:val="en-GB"/>
        </w:rPr>
        <w:t>&lt;</w:t>
      </w:r>
      <w:hyperlink r:id="rId57">
        <w:r w:rsidRPr="00171C2D">
          <w:rPr>
            <w:rFonts w:ascii="Avenir" w:eastAsia="Avenir" w:hAnsi="Avenir" w:cs="Avenir"/>
            <w:u w:val="single"/>
            <w:lang w:val="en-GB"/>
          </w:rPr>
          <w:t>http://search.electoralcommission.org.uk</w:t>
        </w:r>
      </w:hyperlink>
      <w:r w:rsidR="004664E8">
        <w:rPr>
          <w:rFonts w:ascii="Avenir" w:eastAsia="Avenir" w:hAnsi="Avenir" w:cs="Avenir"/>
          <w:lang w:val="en-GB"/>
        </w:rPr>
        <w:t>&gt;</w:t>
      </w:r>
      <w:r w:rsidRPr="00171C2D">
        <w:rPr>
          <w:rFonts w:ascii="Avenir" w:eastAsia="Avenir" w:hAnsi="Avenir" w:cs="Avenir"/>
          <w:lang w:val="en-GB"/>
        </w:rPr>
        <w:t>.</w:t>
      </w:r>
    </w:p>
    <w:p w14:paraId="39387BF6" w14:textId="77777777" w:rsidR="00B556DE" w:rsidRPr="00171C2D" w:rsidRDefault="00B556DE">
      <w:pPr>
        <w:jc w:val="both"/>
        <w:rPr>
          <w:rFonts w:ascii="Avenir" w:eastAsia="Avenir" w:hAnsi="Avenir" w:cs="Avenir"/>
          <w:lang w:val="en-GB"/>
        </w:rPr>
      </w:pPr>
    </w:p>
    <w:p w14:paraId="46F86801" w14:textId="5F633DF8"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The research team used the content from these invoices to infer which specific services were being provided by each supplier during the regulated campaign period for each party. In doing so, the team took the decision to focus on suppliers with whom parties spent non-trivial amounts of money. The research team therefore set a threshold for suppliers, which needed to have total billings of at least </w:t>
      </w:r>
      <w:r w:rsidR="009014F3">
        <w:rPr>
          <w:rFonts w:ascii="Avenir" w:eastAsia="Avenir" w:hAnsi="Avenir" w:cs="Avenir"/>
          <w:lang w:val="en-GB"/>
        </w:rPr>
        <w:t>GBP </w:t>
      </w:r>
      <w:r w:rsidRPr="00171C2D">
        <w:rPr>
          <w:rFonts w:ascii="Avenir" w:eastAsia="Avenir" w:hAnsi="Avenir" w:cs="Avenir"/>
          <w:lang w:val="en-GB"/>
        </w:rPr>
        <w:t>1,000 during the campaign period, and those that did not meet this threshold were excluded from the analysis. Similarly, the team also took the decision during the analysis to remove the invoices that the Electoral Commission classified as ‘transport’. This was because, despite being a large category</w:t>
      </w:r>
      <w:r w:rsidRPr="00171C2D">
        <w:rPr>
          <w:rFonts w:ascii="Avenir" w:eastAsia="Avenir" w:hAnsi="Avenir" w:cs="Avenir"/>
          <w:highlight w:val="white"/>
          <w:lang w:val="en-GB"/>
        </w:rPr>
        <w:t xml:space="preserve"> (containing 9,518 ent</w:t>
      </w:r>
      <w:r w:rsidRPr="00171C2D">
        <w:rPr>
          <w:rFonts w:ascii="Avenir" w:eastAsia="Avenir" w:hAnsi="Avenir" w:cs="Avenir"/>
          <w:lang w:val="en-GB"/>
        </w:rPr>
        <w:t xml:space="preserve">ries), these invoices were typically composed of low-cost spending and did not contain insight on activity of interest to the study. The research team analysed every invoice from suppliers that met these criteria, which therefore allowed the team to code the full range of remaining spending. </w:t>
      </w:r>
    </w:p>
    <w:p w14:paraId="42BACDD2" w14:textId="77777777" w:rsidR="00B556DE" w:rsidRPr="00171C2D" w:rsidRDefault="00B556DE">
      <w:pPr>
        <w:jc w:val="both"/>
        <w:rPr>
          <w:rFonts w:ascii="Avenir" w:eastAsia="Avenir" w:hAnsi="Avenir" w:cs="Avenir"/>
          <w:lang w:val="en-GB"/>
        </w:rPr>
      </w:pPr>
    </w:p>
    <w:p w14:paraId="1376DADE" w14:textId="59F56864"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The codes assigned were based primarily on the information found on the invoices. In </w:t>
      </w:r>
      <w:proofErr w:type="gramStart"/>
      <w:r w:rsidRPr="00171C2D">
        <w:rPr>
          <w:rFonts w:ascii="Avenir" w:eastAsia="Avenir" w:hAnsi="Avenir" w:cs="Avenir"/>
          <w:lang w:val="en-GB"/>
        </w:rPr>
        <w:t>a number of</w:t>
      </w:r>
      <w:proofErr w:type="gramEnd"/>
      <w:r w:rsidRPr="00171C2D">
        <w:rPr>
          <w:rFonts w:ascii="Avenir" w:eastAsia="Avenir" w:hAnsi="Avenir" w:cs="Avenir"/>
          <w:lang w:val="en-GB"/>
        </w:rPr>
        <w:t xml:space="preserve"> instances, the team did rely on non-specialist knowledge about the work of particular suppliers. For example, the team inferred that</w:t>
      </w:r>
      <w:r w:rsidR="00F479C9" w:rsidRPr="00171C2D">
        <w:rPr>
          <w:rFonts w:ascii="Avenir" w:eastAsia="Avenir" w:hAnsi="Avenir" w:cs="Avenir"/>
          <w:lang w:val="en-GB"/>
        </w:rPr>
        <w:t xml:space="preserve"> those</w:t>
      </w:r>
      <w:r w:rsidRPr="00171C2D">
        <w:rPr>
          <w:rFonts w:ascii="Avenir" w:eastAsia="Avenir" w:hAnsi="Avenir" w:cs="Avenir"/>
          <w:lang w:val="en-GB"/>
        </w:rPr>
        <w:t xml:space="preserve"> invoices</w:t>
      </w:r>
      <w:r w:rsidR="00F479C9" w:rsidRPr="00171C2D">
        <w:rPr>
          <w:rFonts w:ascii="Avenir" w:eastAsia="Avenir" w:hAnsi="Avenir" w:cs="Avenir"/>
          <w:lang w:val="en-GB"/>
        </w:rPr>
        <w:t xml:space="preserve"> which</w:t>
      </w:r>
      <w:r w:rsidRPr="00171C2D">
        <w:rPr>
          <w:rFonts w:ascii="Avenir" w:eastAsia="Avenir" w:hAnsi="Avenir" w:cs="Avenir"/>
          <w:lang w:val="en-GB"/>
        </w:rPr>
        <w:t xml:space="preserve"> mention specific publications—such as </w:t>
      </w:r>
      <w:r w:rsidRPr="00171C2D">
        <w:rPr>
          <w:rFonts w:ascii="Avenir" w:eastAsia="Avenir" w:hAnsi="Avenir" w:cs="Avenir"/>
          <w:i/>
          <w:iCs/>
          <w:lang w:val="en-GB"/>
        </w:rPr>
        <w:t>The</w:t>
      </w:r>
      <w:r w:rsidRPr="00171C2D">
        <w:rPr>
          <w:rFonts w:ascii="Avenir" w:eastAsia="Avenir" w:hAnsi="Avenir" w:cs="Avenir"/>
          <w:lang w:val="en-GB"/>
        </w:rPr>
        <w:t xml:space="preserve"> </w:t>
      </w:r>
      <w:r w:rsidRPr="00171C2D">
        <w:rPr>
          <w:rFonts w:ascii="Avenir" w:eastAsia="Avenir" w:hAnsi="Avenir" w:cs="Avenir"/>
          <w:i/>
          <w:lang w:val="en-GB"/>
        </w:rPr>
        <w:t>Jewish Chronicle—</w:t>
      </w:r>
      <w:r w:rsidRPr="00171C2D">
        <w:rPr>
          <w:rFonts w:ascii="Avenir" w:eastAsia="Avenir" w:hAnsi="Avenir" w:cs="Avenir"/>
          <w:lang w:val="en-GB"/>
        </w:rPr>
        <w:t xml:space="preserve">were evidence of ‘newspaper advertising’, or coded instances of advertising on invoices from Facebook to be ‘social media advertising’. Where possible, the team avoided using specialist knowledge to assign a code and therefore, for example, coded references to </w:t>
      </w:r>
      <w:proofErr w:type="gramStart"/>
      <w:r w:rsidRPr="00171C2D">
        <w:rPr>
          <w:rFonts w:ascii="Avenir" w:eastAsia="Avenir" w:hAnsi="Avenir" w:cs="Avenir"/>
          <w:lang w:val="en-GB"/>
        </w:rPr>
        <w:t>particular campaigning</w:t>
      </w:r>
      <w:proofErr w:type="gramEnd"/>
      <w:r w:rsidRPr="00171C2D">
        <w:rPr>
          <w:rFonts w:ascii="Avenir" w:eastAsia="Avenir" w:hAnsi="Avenir" w:cs="Avenir"/>
          <w:lang w:val="en-GB"/>
        </w:rPr>
        <w:t xml:space="preserve"> products, such as the Labour Party’s ‘Organise’ application, under ‘miscellaneous’ because non-specialist audiences would not recognize what this term referred to. </w:t>
      </w:r>
    </w:p>
    <w:p w14:paraId="51B72780" w14:textId="77777777" w:rsidR="00B556DE" w:rsidRPr="00171C2D" w:rsidRDefault="00B556DE">
      <w:pPr>
        <w:jc w:val="both"/>
        <w:rPr>
          <w:rFonts w:ascii="Avenir" w:eastAsia="Avenir" w:hAnsi="Avenir" w:cs="Avenir"/>
          <w:lang w:val="en-GB"/>
        </w:rPr>
      </w:pPr>
    </w:p>
    <w:p w14:paraId="7A7343D2" w14:textId="17556525" w:rsidR="00B556DE" w:rsidRPr="00171C2D" w:rsidRDefault="000D6BB0">
      <w:pPr>
        <w:jc w:val="both"/>
        <w:rPr>
          <w:rFonts w:ascii="Avenir" w:eastAsia="Avenir" w:hAnsi="Avenir" w:cs="Avenir"/>
          <w:lang w:val="en-GB"/>
        </w:rPr>
      </w:pPr>
      <w:r w:rsidRPr="00171C2D">
        <w:rPr>
          <w:rFonts w:ascii="Avenir" w:eastAsia="Avenir" w:hAnsi="Avenir" w:cs="Avenir"/>
          <w:lang w:val="en-GB"/>
        </w:rPr>
        <w:t>The codes themselves are detailed i</w:t>
      </w:r>
      <w:r w:rsidR="007C5127" w:rsidRPr="00171C2D">
        <w:rPr>
          <w:rFonts w:ascii="Avenir" w:eastAsia="Avenir" w:hAnsi="Avenir" w:cs="Avenir"/>
          <w:lang w:val="en-GB"/>
        </w:rPr>
        <w:t>n section</w:t>
      </w:r>
      <w:r w:rsidR="004664E8">
        <w:rPr>
          <w:rFonts w:ascii="Avenir" w:eastAsia="Avenir" w:hAnsi="Avenir" w:cs="Avenir"/>
          <w:lang w:val="en-GB"/>
        </w:rPr>
        <w:t> </w:t>
      </w:r>
      <w:r w:rsidR="007C5127" w:rsidRPr="00171C2D">
        <w:rPr>
          <w:rFonts w:ascii="Avenir" w:eastAsia="Avenir" w:hAnsi="Avenir" w:cs="Avenir"/>
          <w:lang w:val="en-GB"/>
        </w:rPr>
        <w:t>4.1 of the report.</w:t>
      </w:r>
      <w:r w:rsidRPr="00171C2D">
        <w:rPr>
          <w:rFonts w:ascii="Avenir" w:eastAsia="Avenir" w:hAnsi="Avenir" w:cs="Avenir"/>
          <w:lang w:val="en-GB"/>
        </w:rPr>
        <w:t xml:space="preserve"> Invoices were first assigned to a ‘macro’ category, which indicated the broad category which their product/service related to (</w:t>
      </w:r>
      <w:proofErr w:type="gramStart"/>
      <w:r w:rsidRPr="00171C2D">
        <w:rPr>
          <w:rFonts w:ascii="Avenir" w:eastAsia="Avenir" w:hAnsi="Avenir" w:cs="Avenir"/>
          <w:lang w:val="en-GB"/>
        </w:rPr>
        <w:t>e.g.</w:t>
      </w:r>
      <w:proofErr w:type="gramEnd"/>
      <w:r w:rsidRPr="00171C2D">
        <w:rPr>
          <w:rFonts w:ascii="Avenir" w:eastAsia="Avenir" w:hAnsi="Avenir" w:cs="Avenir"/>
          <w:lang w:val="en-GB"/>
        </w:rPr>
        <w:t xml:space="preserve"> advertising and press, consultancy). The research team then developed a series of ‘micro’ categories underneath these headings, which better capture the diversity of activity for each main category (</w:t>
      </w:r>
      <w:proofErr w:type="gramStart"/>
      <w:r w:rsidRPr="00171C2D">
        <w:rPr>
          <w:rFonts w:ascii="Avenir" w:eastAsia="Avenir" w:hAnsi="Avenir" w:cs="Avenir"/>
          <w:lang w:val="en-GB"/>
        </w:rPr>
        <w:t>e.g.</w:t>
      </w:r>
      <w:proofErr w:type="gramEnd"/>
      <w:r w:rsidRPr="00171C2D">
        <w:rPr>
          <w:rFonts w:ascii="Avenir" w:eastAsia="Avenir" w:hAnsi="Avenir" w:cs="Avenir"/>
          <w:lang w:val="en-GB"/>
        </w:rPr>
        <w:t xml:space="preserve"> for Advertising, there were subcategories for newspaper or magazine advertising, and social media advertising). When designing these codes, the research team first constructed an initial list of the services that parties use to support their activity during election campaigns, and subsequently added to and refined this list during the initial phase of the analysis after encountering invoices that did not adequately fit into the initial list (categories that contained zero invoices). Separate codes were assigned for each function within a given invoice. For instance, if an advertising agency stated in a single invoice that they supplied advertising as well as audience research, then </w:t>
      </w:r>
      <w:proofErr w:type="gramStart"/>
      <w:r w:rsidRPr="00171C2D">
        <w:rPr>
          <w:rFonts w:ascii="Avenir" w:eastAsia="Avenir" w:hAnsi="Avenir" w:cs="Avenir"/>
          <w:lang w:val="en-GB"/>
        </w:rPr>
        <w:t>both of these</w:t>
      </w:r>
      <w:proofErr w:type="gramEnd"/>
      <w:r w:rsidRPr="00171C2D">
        <w:rPr>
          <w:rFonts w:ascii="Avenir" w:eastAsia="Avenir" w:hAnsi="Avenir" w:cs="Avenir"/>
          <w:lang w:val="en-GB"/>
        </w:rPr>
        <w:t xml:space="preserve"> services would be assigned separate codes. </w:t>
      </w:r>
    </w:p>
    <w:p w14:paraId="32FDC5D4" w14:textId="77777777" w:rsidR="00B556DE" w:rsidRPr="00171C2D" w:rsidRDefault="00B556DE">
      <w:pPr>
        <w:jc w:val="both"/>
        <w:rPr>
          <w:rFonts w:ascii="Avenir" w:eastAsia="Avenir" w:hAnsi="Avenir" w:cs="Avenir"/>
          <w:lang w:val="en-GB"/>
        </w:rPr>
      </w:pPr>
    </w:p>
    <w:p w14:paraId="4C9B1747" w14:textId="6F102205" w:rsidR="00B556DE" w:rsidRPr="00171C2D" w:rsidRDefault="000D6BB0">
      <w:pPr>
        <w:jc w:val="both"/>
        <w:rPr>
          <w:rFonts w:ascii="Avenir" w:eastAsia="Avenir" w:hAnsi="Avenir" w:cs="Avenir"/>
          <w:lang w:val="en-GB"/>
        </w:rPr>
      </w:pPr>
      <w:r w:rsidRPr="00171C2D">
        <w:rPr>
          <w:rFonts w:ascii="Avenir" w:eastAsia="Avenir" w:hAnsi="Avenir" w:cs="Avenir"/>
          <w:lang w:val="en-GB"/>
        </w:rPr>
        <w:lastRenderedPageBreak/>
        <w:t>To ensure consistency, the research team employed a double-coding system, where every invoice from each supplier was viewed by at least two members of the team. Adopting this process, codes were assigned for each supplier to cover the range of activity apparent within invoices. Instances of agreement were consistently above 70</w:t>
      </w:r>
      <w:r w:rsidR="009014F3">
        <w:rPr>
          <w:rFonts w:ascii="Avenir" w:eastAsia="Avenir" w:hAnsi="Avenir" w:cs="Avenir"/>
          <w:lang w:val="en-GB"/>
        </w:rPr>
        <w:t> per cent</w:t>
      </w:r>
      <w:r w:rsidRPr="00171C2D">
        <w:rPr>
          <w:rFonts w:ascii="Avenir" w:eastAsia="Avenir" w:hAnsi="Avenir" w:cs="Avenir"/>
          <w:lang w:val="en-GB"/>
        </w:rPr>
        <w:t>, and invoices that were subject to disagreement were discussed among the wider team before a</w:t>
      </w:r>
      <w:r w:rsidRPr="00171C2D">
        <w:rPr>
          <w:rFonts w:ascii="Avenir" w:eastAsia="Avenir" w:hAnsi="Avenir" w:cs="Avenir"/>
          <w:highlight w:val="white"/>
          <w:lang w:val="en-GB"/>
        </w:rPr>
        <w:t xml:space="preserve"> </w:t>
      </w:r>
      <w:r w:rsidRPr="00171C2D">
        <w:rPr>
          <w:rFonts w:ascii="Avenir" w:eastAsia="Avenir" w:hAnsi="Avenir" w:cs="Avenir"/>
          <w:lang w:val="en-GB"/>
        </w:rPr>
        <w:t xml:space="preserve">resolution was made in each case. Not all invoices were clear at this point in terms of how well they describe the services that parties use, and those invoices that remained ambiguous were also discussed within the whole research </w:t>
      </w:r>
      <w:proofErr w:type="gramStart"/>
      <w:r w:rsidRPr="00171C2D">
        <w:rPr>
          <w:rFonts w:ascii="Avenir" w:eastAsia="Avenir" w:hAnsi="Avenir" w:cs="Avenir"/>
          <w:lang w:val="en-GB"/>
        </w:rPr>
        <w:t>team, before</w:t>
      </w:r>
      <w:proofErr w:type="gramEnd"/>
      <w:r w:rsidRPr="00171C2D">
        <w:rPr>
          <w:rFonts w:ascii="Avenir" w:eastAsia="Avenir" w:hAnsi="Avenir" w:cs="Avenir"/>
          <w:lang w:val="en-GB"/>
        </w:rPr>
        <w:t xml:space="preserve"> a collective decision was made about categorization. </w:t>
      </w:r>
    </w:p>
    <w:p w14:paraId="74D8E0A5" w14:textId="77777777" w:rsidR="00B556DE" w:rsidRPr="00171C2D" w:rsidRDefault="00B556DE">
      <w:pPr>
        <w:jc w:val="both"/>
        <w:rPr>
          <w:rFonts w:ascii="Avenir" w:eastAsia="Avenir" w:hAnsi="Avenir" w:cs="Avenir"/>
          <w:lang w:val="en-GB"/>
        </w:rPr>
      </w:pPr>
    </w:p>
    <w:p w14:paraId="3F2F22B0" w14:textId="1767FFFA" w:rsidR="00B556DE" w:rsidRPr="00171C2D" w:rsidRDefault="000D6BB0">
      <w:pPr>
        <w:jc w:val="both"/>
        <w:rPr>
          <w:rFonts w:ascii="Avenir" w:eastAsia="Avenir" w:hAnsi="Avenir" w:cs="Avenir"/>
          <w:lang w:val="en-GB"/>
        </w:rPr>
      </w:pPr>
      <w:r w:rsidRPr="00171C2D">
        <w:rPr>
          <w:rFonts w:ascii="Avenir" w:eastAsia="Avenir" w:hAnsi="Avenir" w:cs="Avenir"/>
          <w:lang w:val="en-GB"/>
        </w:rPr>
        <w:t xml:space="preserve">There were also cases where the invoices were missing. This was either because: no link was found on the Electoral Commission database, despite meeting the threshold of </w:t>
      </w:r>
      <w:r w:rsidR="009014F3">
        <w:rPr>
          <w:rFonts w:ascii="Avenir" w:eastAsia="Avenir" w:hAnsi="Avenir" w:cs="Avenir"/>
          <w:lang w:val="en-GB"/>
        </w:rPr>
        <w:t>GBP </w:t>
      </w:r>
      <w:r w:rsidRPr="00171C2D">
        <w:rPr>
          <w:rFonts w:ascii="Avenir" w:eastAsia="Avenir" w:hAnsi="Avenir" w:cs="Avenir"/>
          <w:lang w:val="en-GB"/>
        </w:rPr>
        <w:t>200; the link to the invoice only led to a blank page; or, in a small number of cases, the wrong invoice had been assigned to a particular supplier. Each of these eventualities was coded separately.</w:t>
      </w:r>
    </w:p>
    <w:p w14:paraId="0E528073" w14:textId="77777777" w:rsidR="00B556DE" w:rsidRPr="00171C2D" w:rsidRDefault="00B556DE">
      <w:pPr>
        <w:jc w:val="both"/>
        <w:rPr>
          <w:rFonts w:ascii="Avenir" w:eastAsia="Avenir" w:hAnsi="Avenir" w:cs="Avenir"/>
          <w:u w:val="single"/>
          <w:lang w:val="en-GB"/>
        </w:rPr>
      </w:pPr>
    </w:p>
    <w:p w14:paraId="0E166C56" w14:textId="77777777" w:rsidR="00B556DE" w:rsidRPr="00171C2D" w:rsidRDefault="000D6BB0">
      <w:pPr>
        <w:rPr>
          <w:rFonts w:ascii="Avenir" w:eastAsia="Avenir" w:hAnsi="Avenir" w:cs="Avenir"/>
          <w:u w:val="single"/>
          <w:lang w:val="en-GB"/>
        </w:rPr>
      </w:pPr>
      <w:r w:rsidRPr="00171C2D">
        <w:br w:type="page"/>
      </w:r>
    </w:p>
    <w:p w14:paraId="0D46C755" w14:textId="77777777" w:rsidR="00B556DE" w:rsidRPr="00171C2D" w:rsidRDefault="000D6BB0">
      <w:pPr>
        <w:shd w:val="clear" w:color="auto" w:fill="FFFFFF"/>
        <w:jc w:val="both"/>
        <w:textAlignment w:val="baseline"/>
        <w:rPr>
          <w:rFonts w:ascii="Times New Roman" w:hAnsi="Times New Roman" w:cs="Times New Roman"/>
          <w:sz w:val="24"/>
          <w:szCs w:val="24"/>
          <w:lang w:val="en-GB"/>
        </w:rPr>
      </w:pPr>
      <w:r w:rsidRPr="00171C2D">
        <w:rPr>
          <w:b/>
          <w:bCs/>
          <w:sz w:val="28"/>
          <w:szCs w:val="28"/>
          <w:lang w:val="en-GB"/>
        </w:rPr>
        <w:lastRenderedPageBreak/>
        <w:t>About the authors</w:t>
      </w:r>
      <w:r w:rsidRPr="00171C2D">
        <w:rPr>
          <w:rFonts w:ascii="Times New Roman" w:hAnsi="Times New Roman" w:cs="Times New Roman"/>
          <w:b/>
          <w:bCs/>
          <w:sz w:val="24"/>
          <w:szCs w:val="24"/>
          <w:lang w:val="en-GB"/>
        </w:rPr>
        <w:t xml:space="preserve"> </w:t>
      </w:r>
    </w:p>
    <w:p w14:paraId="6F59C22C" w14:textId="3D7B4014" w:rsidR="00B556DE" w:rsidRPr="00171C2D" w:rsidRDefault="00B556DE">
      <w:pPr>
        <w:pStyle w:val="NormalWeb"/>
        <w:shd w:val="clear" w:color="auto" w:fill="FFFFFF"/>
        <w:spacing w:beforeAutospacing="0" w:afterAutospacing="0"/>
        <w:jc w:val="both"/>
      </w:pPr>
    </w:p>
    <w:p w14:paraId="617AF7F6" w14:textId="77777777" w:rsidR="00B556DE" w:rsidRPr="00171C2D" w:rsidRDefault="000D6BB0">
      <w:pPr>
        <w:pStyle w:val="NormalWeb"/>
        <w:shd w:val="clear" w:color="auto" w:fill="FFFFFF"/>
        <w:spacing w:beforeAutospacing="0" w:afterAutospacing="0"/>
        <w:jc w:val="both"/>
        <w:rPr>
          <w:rFonts w:ascii="Avenir" w:hAnsi="Avenir"/>
        </w:rPr>
      </w:pPr>
      <w:r w:rsidRPr="00171C2D">
        <w:rPr>
          <w:rFonts w:ascii="Avenir" w:hAnsi="Avenir" w:cs="Times New Roman"/>
          <w:b/>
          <w:bCs/>
        </w:rPr>
        <w:t>Dr Kate Dommett</w:t>
      </w:r>
      <w:r w:rsidRPr="00171C2D">
        <w:rPr>
          <w:rFonts w:ascii="Avenir" w:hAnsi="Avenir" w:cs="Times New Roman"/>
        </w:rPr>
        <w:t xml:space="preserve"> is Senior Lecturer at the University of Sheffield. Her research focuses on digital campaigning, political advertising, </w:t>
      </w:r>
      <w:proofErr w:type="gramStart"/>
      <w:r w:rsidRPr="00171C2D">
        <w:rPr>
          <w:rFonts w:ascii="Avenir" w:hAnsi="Avenir" w:cs="Times New Roman"/>
        </w:rPr>
        <w:t>data</w:t>
      </w:r>
      <w:proofErr w:type="gramEnd"/>
      <w:r w:rsidRPr="00171C2D">
        <w:rPr>
          <w:rFonts w:ascii="Avenir" w:hAnsi="Avenir" w:cs="Times New Roman"/>
        </w:rPr>
        <w:t xml:space="preserve"> and democracy. Dr Dommett recently served as Special Advisor to the House of Lords Committee on Democracy and Digital Technology. She was awarded the 2020 Richard Rose Prize by the Political Studies Association for</w:t>
      </w:r>
      <w:r w:rsidRPr="00171C2D">
        <w:rPr>
          <w:rFonts w:ascii="Avenir" w:hAnsi="Avenir" w:cs="Times New Roman"/>
          <w:shd w:val="clear" w:color="auto" w:fill="FFFFFF"/>
        </w:rPr>
        <w:t xml:space="preserve"> an early-career scholar who has made a distinctive contribution to British politics. Her Book, </w:t>
      </w:r>
      <w:r w:rsidRPr="00171C2D">
        <w:rPr>
          <w:rFonts w:ascii="Avenir" w:hAnsi="Avenir" w:cs="Times New Roman"/>
          <w:i/>
          <w:iCs/>
          <w:shd w:val="clear" w:color="auto" w:fill="FFFFFF"/>
        </w:rPr>
        <w:t>The Reimagined Party</w:t>
      </w:r>
      <w:r w:rsidRPr="00171C2D">
        <w:rPr>
          <w:rFonts w:ascii="Avenir" w:hAnsi="Avenir" w:cs="Times New Roman"/>
          <w:shd w:val="clear" w:color="auto" w:fill="FFFFFF"/>
        </w:rPr>
        <w:t xml:space="preserve"> was published in 2020.</w:t>
      </w:r>
    </w:p>
    <w:p w14:paraId="45877A73" w14:textId="3C560DDE" w:rsidR="00B556DE" w:rsidRPr="00171C2D" w:rsidRDefault="00B556DE">
      <w:pPr>
        <w:pStyle w:val="NormalWeb"/>
        <w:shd w:val="clear" w:color="auto" w:fill="FFFFFF"/>
        <w:spacing w:beforeAutospacing="0" w:afterAutospacing="0"/>
        <w:jc w:val="both"/>
        <w:rPr>
          <w:rFonts w:ascii="Avenir" w:hAnsi="Avenir"/>
        </w:rPr>
      </w:pPr>
    </w:p>
    <w:p w14:paraId="79715EB2" w14:textId="77777777" w:rsidR="00B556DE" w:rsidRPr="00171C2D" w:rsidRDefault="000D6BB0">
      <w:pPr>
        <w:pStyle w:val="NormalWeb"/>
        <w:shd w:val="clear" w:color="auto" w:fill="FFFFFF"/>
        <w:spacing w:beforeAutospacing="0" w:afterAutospacing="0"/>
        <w:jc w:val="both"/>
        <w:rPr>
          <w:rFonts w:ascii="Avenir" w:hAnsi="Avenir"/>
        </w:rPr>
      </w:pPr>
      <w:r w:rsidRPr="00171C2D">
        <w:rPr>
          <w:rFonts w:ascii="Avenir" w:hAnsi="Avenir" w:cs="Times New Roman"/>
          <w:b/>
          <w:bCs/>
          <w:shd w:val="clear" w:color="auto" w:fill="FFFFFF"/>
        </w:rPr>
        <w:t>Dr Sam Power</w:t>
      </w:r>
      <w:r w:rsidRPr="00171C2D">
        <w:rPr>
          <w:rFonts w:ascii="Avenir" w:hAnsi="Avenir" w:cs="Times New Roman"/>
          <w:shd w:val="clear" w:color="auto" w:fill="FFFFFF"/>
        </w:rPr>
        <w:t xml:space="preserve"> is Lecturer in Corruption Analysis at the University of Sussex. His research focuses on political financing, online </w:t>
      </w:r>
      <w:proofErr w:type="gramStart"/>
      <w:r w:rsidRPr="00171C2D">
        <w:rPr>
          <w:rFonts w:ascii="Avenir" w:hAnsi="Avenir" w:cs="Times New Roman"/>
          <w:shd w:val="clear" w:color="auto" w:fill="FFFFFF"/>
        </w:rPr>
        <w:t>campaigns</w:t>
      </w:r>
      <w:proofErr w:type="gramEnd"/>
      <w:r w:rsidRPr="00171C2D">
        <w:rPr>
          <w:rFonts w:ascii="Avenir" w:hAnsi="Avenir" w:cs="Times New Roman"/>
          <w:shd w:val="clear" w:color="auto" w:fill="FFFFFF"/>
        </w:rPr>
        <w:t xml:space="preserve"> and corruption. Dr Power recently served as expert consultant to the Committee on Standards in Public Life’s review, Regulating Election Finance. His book, </w:t>
      </w:r>
      <w:r w:rsidRPr="00171C2D">
        <w:rPr>
          <w:rFonts w:ascii="Avenir" w:hAnsi="Avenir" w:cs="Times New Roman"/>
          <w:i/>
          <w:iCs/>
          <w:shd w:val="clear" w:color="auto" w:fill="FFFFFF"/>
        </w:rPr>
        <w:t>Party Funding and Corruption</w:t>
      </w:r>
      <w:r w:rsidRPr="00171C2D">
        <w:rPr>
          <w:rFonts w:ascii="Avenir" w:hAnsi="Avenir" w:cs="Times New Roman"/>
          <w:shd w:val="clear" w:color="auto" w:fill="FFFFFF"/>
        </w:rPr>
        <w:t xml:space="preserve"> was published in 2020, and co-edited collection </w:t>
      </w:r>
      <w:r w:rsidRPr="00171C2D">
        <w:rPr>
          <w:rFonts w:ascii="Avenir" w:hAnsi="Avenir" w:cs="Times New Roman"/>
          <w:i/>
          <w:iCs/>
          <w:shd w:val="clear" w:color="auto" w:fill="FFFFFF"/>
        </w:rPr>
        <w:t xml:space="preserve">Understanding Corruption </w:t>
      </w:r>
      <w:r w:rsidRPr="00171C2D">
        <w:rPr>
          <w:rFonts w:ascii="Avenir" w:hAnsi="Avenir" w:cs="Times New Roman"/>
          <w:shd w:val="clear" w:color="auto" w:fill="FFFFFF"/>
        </w:rPr>
        <w:t>in 2022.</w:t>
      </w:r>
    </w:p>
    <w:p w14:paraId="0D4AD977" w14:textId="77777777" w:rsidR="00B556DE" w:rsidRPr="00171C2D" w:rsidRDefault="000D6BB0">
      <w:pPr>
        <w:pStyle w:val="NormalWeb"/>
        <w:shd w:val="clear" w:color="auto" w:fill="FFFFFF"/>
        <w:spacing w:beforeAutospacing="0" w:afterAutospacing="0"/>
        <w:jc w:val="both"/>
        <w:rPr>
          <w:rFonts w:ascii="Avenir" w:hAnsi="Avenir"/>
        </w:rPr>
      </w:pPr>
      <w:r w:rsidRPr="00171C2D">
        <w:rPr>
          <w:rFonts w:ascii="Avenir" w:hAnsi="Avenir"/>
        </w:rPr>
        <w:t> </w:t>
      </w:r>
    </w:p>
    <w:p w14:paraId="0B855505" w14:textId="4E02D2B6" w:rsidR="00B556DE" w:rsidRPr="00171C2D" w:rsidRDefault="000D6BB0">
      <w:pPr>
        <w:pStyle w:val="NormalWeb"/>
        <w:shd w:val="clear" w:color="auto" w:fill="FFFFFF"/>
        <w:spacing w:beforeAutospacing="0" w:afterAutospacing="0"/>
        <w:jc w:val="both"/>
        <w:rPr>
          <w:rFonts w:ascii="Avenir" w:hAnsi="Avenir"/>
        </w:rPr>
      </w:pPr>
      <w:r w:rsidRPr="00171C2D">
        <w:rPr>
          <w:rFonts w:ascii="Avenir" w:hAnsi="Avenir" w:cs="Times New Roman"/>
          <w:b/>
          <w:bCs/>
          <w:shd w:val="clear" w:color="auto" w:fill="FFFFFF"/>
        </w:rPr>
        <w:t>Dr Amber Macintyre</w:t>
      </w:r>
      <w:r w:rsidRPr="00171C2D">
        <w:rPr>
          <w:rFonts w:ascii="Avenir" w:hAnsi="Avenir" w:cs="Times New Roman"/>
          <w:shd w:val="clear" w:color="auto" w:fill="FFFFFF"/>
        </w:rPr>
        <w:t xml:space="preserve"> is an investigator and educator </w:t>
      </w:r>
      <w:proofErr w:type="spellStart"/>
      <w:r w:rsidRPr="00171C2D">
        <w:rPr>
          <w:rFonts w:ascii="Avenir" w:hAnsi="Avenir" w:cs="Times New Roman"/>
          <w:shd w:val="clear" w:color="auto" w:fill="FFFFFF"/>
        </w:rPr>
        <w:t>specialising</w:t>
      </w:r>
      <w:proofErr w:type="spellEnd"/>
      <w:r w:rsidRPr="00171C2D">
        <w:rPr>
          <w:rFonts w:ascii="Avenir" w:hAnsi="Avenir" w:cs="Times New Roman"/>
          <w:shd w:val="clear" w:color="auto" w:fill="FFFFFF"/>
        </w:rPr>
        <w:t xml:space="preserve"> in technology, ethics, and political participation. Her current work at Tactical Tech in Berlin, Germany examines how political campaigns use personal data to influence citizens and the mediating role of the influence industry. She conducts training of her research methodologies to journalists, academics, and civil society organi</w:t>
      </w:r>
      <w:r w:rsidR="000E4437" w:rsidRPr="00171C2D">
        <w:rPr>
          <w:rFonts w:ascii="Avenir" w:hAnsi="Avenir" w:cs="Times New Roman"/>
          <w:shd w:val="clear" w:color="auto" w:fill="FFFFFF"/>
        </w:rPr>
        <w:t>z</w:t>
      </w:r>
      <w:r w:rsidRPr="00171C2D">
        <w:rPr>
          <w:rFonts w:ascii="Avenir" w:hAnsi="Avenir" w:cs="Times New Roman"/>
          <w:shd w:val="clear" w:color="auto" w:fill="FFFFFF"/>
        </w:rPr>
        <w:t xml:space="preserve">ations. She has recently been a panelist at the Council of Europe’s Lisbon Forum, a guest lecturer on political communications at the University of Kassel, and a keynote speaker at the International Conference of Education, </w:t>
      </w:r>
      <w:proofErr w:type="gramStart"/>
      <w:r w:rsidRPr="00171C2D">
        <w:rPr>
          <w:rFonts w:ascii="Avenir" w:hAnsi="Avenir" w:cs="Times New Roman"/>
          <w:shd w:val="clear" w:color="auto" w:fill="FFFFFF"/>
        </w:rPr>
        <w:t>Research</w:t>
      </w:r>
      <w:proofErr w:type="gramEnd"/>
      <w:r w:rsidRPr="00171C2D">
        <w:rPr>
          <w:rFonts w:ascii="Avenir" w:hAnsi="Avenir" w:cs="Times New Roman"/>
          <w:shd w:val="clear" w:color="auto" w:fill="FFFFFF"/>
        </w:rPr>
        <w:t xml:space="preserve"> and Innovation. </w:t>
      </w:r>
    </w:p>
    <w:p w14:paraId="151B496E" w14:textId="5D5A798A" w:rsidR="00B556DE" w:rsidRPr="00171C2D" w:rsidRDefault="00B556DE">
      <w:pPr>
        <w:pStyle w:val="NormalWeb"/>
        <w:shd w:val="clear" w:color="auto" w:fill="FFFFFF"/>
        <w:spacing w:beforeAutospacing="0" w:afterAutospacing="0"/>
        <w:jc w:val="both"/>
        <w:rPr>
          <w:rFonts w:ascii="Avenir" w:hAnsi="Avenir"/>
        </w:rPr>
      </w:pPr>
    </w:p>
    <w:p w14:paraId="52DCC5AB" w14:textId="1C7FF5BA" w:rsidR="00B556DE" w:rsidRPr="00171C2D" w:rsidRDefault="000D6BB0">
      <w:pPr>
        <w:pStyle w:val="NormalWeb"/>
        <w:shd w:val="clear" w:color="auto" w:fill="FFFFFF"/>
        <w:spacing w:beforeAutospacing="0" w:afterAutospacing="0"/>
        <w:jc w:val="both"/>
        <w:rPr>
          <w:rFonts w:ascii="Avenir" w:hAnsi="Avenir"/>
        </w:rPr>
      </w:pPr>
      <w:r w:rsidRPr="00171C2D">
        <w:rPr>
          <w:rFonts w:ascii="Avenir" w:hAnsi="Avenir" w:cs="Times New Roman"/>
          <w:b/>
          <w:bCs/>
          <w:shd w:val="clear" w:color="auto" w:fill="FFFFFF"/>
        </w:rPr>
        <w:t>Dr Andrew Barclay</w:t>
      </w:r>
      <w:r w:rsidRPr="00171C2D">
        <w:rPr>
          <w:rFonts w:ascii="Avenir" w:hAnsi="Avenir" w:cs="Times New Roman"/>
          <w:shd w:val="clear" w:color="auto" w:fill="FFFFFF"/>
        </w:rPr>
        <w:t xml:space="preserve"> is a Research Associate at the University of Sheffield. His work to date has examined elections, public </w:t>
      </w:r>
      <w:proofErr w:type="gramStart"/>
      <w:r w:rsidRPr="00171C2D">
        <w:rPr>
          <w:rFonts w:ascii="Avenir" w:hAnsi="Avenir" w:cs="Times New Roman"/>
          <w:shd w:val="clear" w:color="auto" w:fill="FFFFFF"/>
        </w:rPr>
        <w:t>opinion</w:t>
      </w:r>
      <w:proofErr w:type="gramEnd"/>
      <w:r w:rsidRPr="00171C2D">
        <w:rPr>
          <w:rFonts w:ascii="Avenir" w:hAnsi="Avenir" w:cs="Times New Roman"/>
          <w:shd w:val="clear" w:color="auto" w:fill="FFFFFF"/>
        </w:rPr>
        <w:t xml:space="preserve"> and participation within the democratic process. He is presently researching the rise of ‘data-driven’ election campaigns, particularly how parties’ campaigning strategies are influenced by the data they hold about voters. Dr Barclay has previously held the position of Lecturer in Politics at the University of Manchester and has recently published in </w:t>
      </w:r>
      <w:r w:rsidRPr="00171C2D">
        <w:rPr>
          <w:rFonts w:ascii="Avenir" w:hAnsi="Avenir" w:cs="Times New Roman"/>
          <w:i/>
          <w:iCs/>
          <w:shd w:val="clear" w:color="auto" w:fill="FFFFFF"/>
        </w:rPr>
        <w:t xml:space="preserve">Electoral Studies </w:t>
      </w:r>
      <w:r w:rsidRPr="00171C2D">
        <w:rPr>
          <w:rFonts w:ascii="Avenir" w:hAnsi="Avenir" w:cs="Times New Roman"/>
          <w:shd w:val="clear" w:color="auto" w:fill="FFFFFF"/>
        </w:rPr>
        <w:t xml:space="preserve">and </w:t>
      </w:r>
      <w:r w:rsidRPr="00171C2D">
        <w:rPr>
          <w:rFonts w:ascii="Avenir" w:hAnsi="Avenir" w:cs="Times New Roman"/>
          <w:i/>
          <w:iCs/>
          <w:shd w:val="clear" w:color="auto" w:fill="FFFFFF"/>
        </w:rPr>
        <w:t>Political Studies</w:t>
      </w:r>
      <w:r w:rsidR="00C37CAC" w:rsidRPr="00171C2D">
        <w:rPr>
          <w:rFonts w:ascii="Avenir" w:hAnsi="Avenir" w:cs="Times New Roman"/>
          <w:shd w:val="clear" w:color="auto" w:fill="FFFFFF"/>
        </w:rPr>
        <w:t>.</w:t>
      </w:r>
    </w:p>
    <w:p w14:paraId="7A98209C" w14:textId="77777777" w:rsidR="00B556DE" w:rsidRPr="00171C2D" w:rsidRDefault="000D6BB0">
      <w:pPr>
        <w:rPr>
          <w:rFonts w:ascii="Avenir" w:eastAsia="Avenir" w:hAnsi="Avenir" w:cs="Avenir"/>
          <w:u w:val="single"/>
          <w:lang w:val="en-GB"/>
        </w:rPr>
      </w:pPr>
      <w:r w:rsidRPr="00171C2D">
        <w:br w:type="page"/>
      </w:r>
    </w:p>
    <w:p w14:paraId="39280BAA" w14:textId="77777777" w:rsidR="00B556DE" w:rsidRPr="00171C2D" w:rsidRDefault="000D6BB0">
      <w:pPr>
        <w:jc w:val="both"/>
        <w:rPr>
          <w:rFonts w:eastAsia="Avenir"/>
          <w:b/>
          <w:bCs/>
          <w:sz w:val="28"/>
          <w:szCs w:val="28"/>
          <w:lang w:val="en-GB"/>
        </w:rPr>
      </w:pPr>
      <w:r w:rsidRPr="00171C2D">
        <w:rPr>
          <w:rFonts w:eastAsia="Avenir"/>
          <w:b/>
          <w:bCs/>
          <w:sz w:val="28"/>
          <w:szCs w:val="28"/>
          <w:lang w:val="en-GB"/>
        </w:rPr>
        <w:lastRenderedPageBreak/>
        <w:t>About International IDEA</w:t>
      </w:r>
    </w:p>
    <w:p w14:paraId="50545080" w14:textId="77777777" w:rsidR="00B556DE" w:rsidRPr="00171C2D" w:rsidRDefault="00B556DE">
      <w:pPr>
        <w:jc w:val="both"/>
        <w:rPr>
          <w:rFonts w:ascii="Avenir" w:eastAsia="Avenir" w:hAnsi="Avenir" w:cs="Avenir"/>
          <w:u w:val="single"/>
          <w:lang w:val="en-GB"/>
        </w:rPr>
      </w:pPr>
    </w:p>
    <w:p w14:paraId="4DA10CE0" w14:textId="77777777" w:rsidR="00B556DE" w:rsidRPr="00171C2D" w:rsidRDefault="000D6BB0">
      <w:pPr>
        <w:jc w:val="both"/>
        <w:rPr>
          <w:rFonts w:ascii="Avenir" w:hAnsi="Avenir"/>
        </w:rPr>
      </w:pPr>
      <w:r w:rsidRPr="00171C2D">
        <w:rPr>
          <w:rFonts w:ascii="Avenir" w:hAnsi="Avenir"/>
        </w:rPr>
        <w:t xml:space="preserve">The International Institute for Democracy and Electoral Assistance (International IDEA) is an intergovernmental organization with the mission to advance democracy worldwide, as a universal human aspiration and enabler of sustainable development. We do this by supporting the building, </w:t>
      </w:r>
      <w:proofErr w:type="gramStart"/>
      <w:r w:rsidRPr="00171C2D">
        <w:rPr>
          <w:rFonts w:ascii="Avenir" w:hAnsi="Avenir"/>
        </w:rPr>
        <w:t>strengthening</w:t>
      </w:r>
      <w:proofErr w:type="gramEnd"/>
      <w:r w:rsidRPr="00171C2D">
        <w:rPr>
          <w:rFonts w:ascii="Avenir" w:hAnsi="Avenir"/>
        </w:rPr>
        <w:t xml:space="preserve"> and safeguarding of democratic political institutions and processes at all levels. Our vision is a world in which democratic processes, actors and institutions are inclusive and accountable and deliver sustainable development to all. </w:t>
      </w:r>
    </w:p>
    <w:p w14:paraId="3677C711" w14:textId="77777777" w:rsidR="00B556DE" w:rsidRPr="00171C2D" w:rsidRDefault="00B556DE">
      <w:pPr>
        <w:jc w:val="both"/>
        <w:rPr>
          <w:rFonts w:ascii="Avenir" w:hAnsi="Avenir"/>
        </w:rPr>
      </w:pPr>
    </w:p>
    <w:p w14:paraId="2C1C9AEA" w14:textId="77777777" w:rsidR="00B556DE" w:rsidRPr="00171C2D" w:rsidRDefault="000D6BB0">
      <w:pPr>
        <w:jc w:val="both"/>
        <w:rPr>
          <w:rFonts w:ascii="Avenir" w:hAnsi="Avenir"/>
        </w:rPr>
      </w:pPr>
      <w:r w:rsidRPr="00171C2D">
        <w:rPr>
          <w:rFonts w:ascii="Avenir" w:hAnsi="Avenir"/>
          <w:b/>
          <w:bCs/>
        </w:rPr>
        <w:t>WHAT WE DO</w:t>
      </w:r>
    </w:p>
    <w:p w14:paraId="606FBE46" w14:textId="77777777" w:rsidR="00B556DE" w:rsidRPr="00171C2D" w:rsidRDefault="000D6BB0">
      <w:pPr>
        <w:jc w:val="both"/>
        <w:rPr>
          <w:rFonts w:ascii="Avenir" w:hAnsi="Avenir"/>
        </w:rPr>
      </w:pPr>
      <w:r w:rsidRPr="00171C2D">
        <w:rPr>
          <w:rFonts w:ascii="Avenir" w:hAnsi="Avenir"/>
        </w:rPr>
        <w:t xml:space="preserve">In our work we focus on three main impact areas: electoral processes; constitution-building processes; and political participation and representation. The themes of gender and inclusion, conflict sensitivity and sustainable development are mainstreamed across all our areas of work. International IDEA provides analyses of global and regional democratic trends; produces comparative knowledge on good international democratic practices; offers technical assistance and capacity-building on democratic reform to actors engaged in democratic processes; and convenes dialogue on issues relevant to the public debate on democracy and democracy building. </w:t>
      </w:r>
    </w:p>
    <w:p w14:paraId="39E37745" w14:textId="77777777" w:rsidR="00B556DE" w:rsidRPr="00171C2D" w:rsidRDefault="00B556DE">
      <w:pPr>
        <w:jc w:val="both"/>
        <w:rPr>
          <w:rFonts w:ascii="Avenir" w:hAnsi="Avenir"/>
        </w:rPr>
      </w:pPr>
    </w:p>
    <w:p w14:paraId="666364DC" w14:textId="77777777" w:rsidR="00B556DE" w:rsidRPr="00171C2D" w:rsidRDefault="000D6BB0">
      <w:pPr>
        <w:jc w:val="both"/>
        <w:rPr>
          <w:rFonts w:ascii="Avenir" w:hAnsi="Avenir"/>
        </w:rPr>
      </w:pPr>
      <w:r w:rsidRPr="00171C2D">
        <w:rPr>
          <w:rFonts w:ascii="Avenir" w:hAnsi="Avenir"/>
          <w:b/>
          <w:bCs/>
        </w:rPr>
        <w:t xml:space="preserve">WHERE WE WORK </w:t>
      </w:r>
    </w:p>
    <w:p w14:paraId="0E21411D" w14:textId="77777777" w:rsidR="00B556DE" w:rsidRPr="00171C2D" w:rsidRDefault="000D6BB0">
      <w:pPr>
        <w:jc w:val="both"/>
        <w:rPr>
          <w:rFonts w:ascii="Avenir" w:hAnsi="Avenir"/>
        </w:rPr>
      </w:pPr>
      <w:r w:rsidRPr="00171C2D">
        <w:rPr>
          <w:rFonts w:ascii="Avenir" w:hAnsi="Avenir"/>
        </w:rPr>
        <w:t xml:space="preserve">Our headquarters </w:t>
      </w:r>
      <w:proofErr w:type="gramStart"/>
      <w:r w:rsidRPr="00171C2D">
        <w:rPr>
          <w:rFonts w:ascii="Avenir" w:hAnsi="Avenir"/>
        </w:rPr>
        <w:t>is located in</w:t>
      </w:r>
      <w:proofErr w:type="gramEnd"/>
      <w:r w:rsidRPr="00171C2D">
        <w:rPr>
          <w:rFonts w:ascii="Avenir" w:hAnsi="Avenir"/>
        </w:rPr>
        <w:t xml:space="preserve"> Stockholm, and we have regional and country offices in Africa, the Asia-Pacific, Europe, and Latin America and the Caribbean. International IDEA is a Permanent Observer to the United Nations and is accredited to European Union institutions.</w:t>
      </w:r>
    </w:p>
    <w:p w14:paraId="2CCBAC4F" w14:textId="77777777" w:rsidR="00B556DE" w:rsidRPr="00171C2D" w:rsidRDefault="00B556DE">
      <w:pPr>
        <w:jc w:val="both"/>
        <w:rPr>
          <w:rFonts w:ascii="Avenir" w:hAnsi="Avenir"/>
        </w:rPr>
      </w:pPr>
    </w:p>
    <w:p w14:paraId="1C9E2413" w14:textId="77777777" w:rsidR="00B556DE" w:rsidRPr="00171C2D" w:rsidRDefault="000D6BB0">
      <w:pPr>
        <w:jc w:val="both"/>
        <w:rPr>
          <w:rFonts w:ascii="Avenir" w:hAnsi="Avenir"/>
        </w:rPr>
      </w:pPr>
      <w:r w:rsidRPr="00171C2D">
        <w:rPr>
          <w:rFonts w:ascii="Avenir" w:hAnsi="Avenir"/>
        </w:rPr>
        <w:t>&lt;http://idea.int&gt;</w:t>
      </w:r>
    </w:p>
    <w:p w14:paraId="79DAAA6A" w14:textId="77777777" w:rsidR="00B556DE" w:rsidRPr="00171C2D" w:rsidRDefault="000D6BB0">
      <w:pPr>
        <w:rPr>
          <w:rFonts w:ascii="Avenir" w:hAnsi="Avenir"/>
        </w:rPr>
      </w:pPr>
      <w:r w:rsidRPr="00171C2D">
        <w:br w:type="page"/>
      </w:r>
    </w:p>
    <w:p w14:paraId="54C8A994" w14:textId="77777777" w:rsidR="00B556DE" w:rsidRPr="00171C2D" w:rsidRDefault="000D6BB0">
      <w:pPr>
        <w:shd w:val="clear" w:color="auto" w:fill="FFFFFF"/>
        <w:jc w:val="both"/>
        <w:textAlignment w:val="baseline"/>
      </w:pPr>
      <w:r w:rsidRPr="00171C2D">
        <w:rPr>
          <w:b/>
          <w:bCs/>
        </w:rPr>
        <w:lastRenderedPageBreak/>
        <w:t>Back cover blurb</w:t>
      </w:r>
    </w:p>
    <w:p w14:paraId="311E8362" w14:textId="77777777" w:rsidR="00B556DE" w:rsidRPr="00171C2D" w:rsidRDefault="00B556DE">
      <w:pPr>
        <w:shd w:val="clear" w:color="auto" w:fill="FFFFFF"/>
        <w:jc w:val="both"/>
        <w:textAlignment w:val="baseline"/>
        <w:rPr>
          <w:rFonts w:ascii="Calibri" w:hAnsi="Calibri" w:cs="Calibri"/>
        </w:rPr>
      </w:pPr>
    </w:p>
    <w:p w14:paraId="7AA320AA" w14:textId="505A054C" w:rsidR="00B556DE" w:rsidRPr="00171C2D" w:rsidRDefault="000D6BB0">
      <w:pPr>
        <w:pStyle w:val="NormalWeb"/>
        <w:shd w:val="clear" w:color="auto" w:fill="FFFFFF"/>
        <w:spacing w:beforeAutospacing="0" w:afterAutospacing="0"/>
        <w:jc w:val="both"/>
        <w:rPr>
          <w:rFonts w:ascii="Avenir" w:hAnsi="Avenir"/>
        </w:rPr>
      </w:pPr>
      <w:r w:rsidRPr="00171C2D">
        <w:rPr>
          <w:rFonts w:ascii="Avenir" w:hAnsi="Avenir" w:cs="Times New Roman"/>
        </w:rPr>
        <w:t xml:space="preserve">The business of running election campaigns is integrated into democratic practices in countries around the world, yet little attention has been paid to the </w:t>
      </w:r>
      <w:r w:rsidR="00847142">
        <w:rPr>
          <w:rFonts w:ascii="Avenir" w:hAnsi="Avenir" w:cs="Times New Roman"/>
          <w:lang w:val="en-GB"/>
        </w:rPr>
        <w:t>organization</w:t>
      </w:r>
      <w:r w:rsidRPr="00171C2D">
        <w:rPr>
          <w:rFonts w:ascii="Avenir" w:hAnsi="Avenir" w:cs="Times New Roman"/>
          <w:lang w:val="en-GB"/>
        </w:rPr>
        <w:t>s</w:t>
      </w:r>
      <w:r w:rsidRPr="00171C2D">
        <w:rPr>
          <w:rFonts w:ascii="Avenir" w:hAnsi="Avenir" w:cs="Times New Roman"/>
        </w:rPr>
        <w:t xml:space="preserve"> who profit from working with political parties, or to the accountability mechanisms that surround this industry. Whilst the Cambridge Analytica scandal helped to bring more attention to the problematic aspects of electoral business, there remain many urgent and yet unanswered questions about who these suppliers are, what role they play in politics, and whether current transparency disclosures are fit for purpose. </w:t>
      </w:r>
    </w:p>
    <w:p w14:paraId="5F290055" w14:textId="77777777" w:rsidR="00B556DE" w:rsidRPr="00171C2D" w:rsidRDefault="000D6BB0">
      <w:pPr>
        <w:pStyle w:val="NormalWeb"/>
        <w:shd w:val="clear" w:color="auto" w:fill="FFFFFF"/>
        <w:spacing w:beforeAutospacing="0" w:afterAutospacing="0"/>
        <w:jc w:val="both"/>
        <w:rPr>
          <w:rFonts w:ascii="Avenir" w:hAnsi="Avenir"/>
        </w:rPr>
      </w:pPr>
      <w:r w:rsidRPr="00171C2D">
        <w:rPr>
          <w:rFonts w:ascii="Avenir" w:hAnsi="Avenir"/>
        </w:rPr>
        <w:t> </w:t>
      </w:r>
    </w:p>
    <w:p w14:paraId="297F95FD" w14:textId="69484646" w:rsidR="001926BD" w:rsidRDefault="000D6BB0">
      <w:pPr>
        <w:pStyle w:val="NormalWeb"/>
        <w:shd w:val="clear" w:color="auto" w:fill="FFFFFF"/>
        <w:spacing w:beforeAutospacing="0" w:afterAutospacing="0"/>
        <w:jc w:val="both"/>
        <w:rPr>
          <w:rFonts w:ascii="Avenir" w:hAnsi="Avenir" w:cs="Times New Roman"/>
        </w:rPr>
      </w:pPr>
      <w:r w:rsidRPr="00C03D5B">
        <w:rPr>
          <w:rFonts w:ascii="Avenir" w:hAnsi="Avenir" w:cs="Times New Roman"/>
          <w:highlight w:val="yellow"/>
          <w:lang w:val="en-GB"/>
        </w:rPr>
        <w:t>This report</w:t>
      </w:r>
      <w:r w:rsidRPr="00171C2D">
        <w:rPr>
          <w:rFonts w:ascii="Avenir" w:hAnsi="Avenir" w:cs="Times New Roman"/>
          <w:lang w:val="en-GB"/>
        </w:rPr>
        <w:t xml:space="preserve"> </w:t>
      </w:r>
      <w:r w:rsidRPr="00171C2D">
        <w:rPr>
          <w:rFonts w:ascii="Avenir" w:hAnsi="Avenir" w:cs="Times New Roman"/>
        </w:rPr>
        <w:t>take</w:t>
      </w:r>
      <w:r w:rsidRPr="00171C2D">
        <w:rPr>
          <w:rFonts w:ascii="Avenir" w:hAnsi="Avenir" w:cs="Times New Roman"/>
          <w:lang w:val="en-GB"/>
        </w:rPr>
        <w:t>s</w:t>
      </w:r>
      <w:r w:rsidRPr="00171C2D">
        <w:rPr>
          <w:rFonts w:ascii="Avenir" w:hAnsi="Avenir" w:cs="Times New Roman"/>
        </w:rPr>
        <w:t xml:space="preserve"> a deep dive investigation into the UK 2019 general election</w:t>
      </w:r>
      <w:r w:rsidR="001926BD">
        <w:rPr>
          <w:rFonts w:ascii="Avenir" w:hAnsi="Avenir" w:cs="Times New Roman"/>
        </w:rPr>
        <w:t xml:space="preserve"> </w:t>
      </w:r>
      <w:proofErr w:type="gramStart"/>
      <w:r w:rsidR="001926BD">
        <w:rPr>
          <w:rFonts w:ascii="Avenir" w:hAnsi="Avenir" w:cs="Times New Roman"/>
        </w:rPr>
        <w:t xml:space="preserve">and </w:t>
      </w:r>
      <w:r w:rsidRPr="00171C2D">
        <w:rPr>
          <w:rFonts w:ascii="Avenir" w:hAnsi="Avenir" w:cs="Times New Roman"/>
        </w:rPr>
        <w:t xml:space="preserve"> </w:t>
      </w:r>
      <w:r w:rsidR="001926BD" w:rsidRPr="00171C2D">
        <w:rPr>
          <w:rFonts w:ascii="Avenir" w:hAnsi="Avenir" w:cs="Times New Roman"/>
        </w:rPr>
        <w:t>offers</w:t>
      </w:r>
      <w:proofErr w:type="gramEnd"/>
      <w:r w:rsidR="001926BD" w:rsidRPr="00171C2D">
        <w:rPr>
          <w:rFonts w:ascii="Avenir" w:hAnsi="Avenir" w:cs="Times New Roman"/>
        </w:rPr>
        <w:t xml:space="preserve"> a unique examination of the role of election suppliers in the UK.</w:t>
      </w:r>
      <w:r w:rsidR="001926BD">
        <w:rPr>
          <w:rFonts w:ascii="Avenir" w:hAnsi="Avenir" w:cs="Times New Roman"/>
        </w:rPr>
        <w:t xml:space="preserve"> Scrutinizing the </w:t>
      </w:r>
      <w:r w:rsidRPr="00171C2D">
        <w:rPr>
          <w:rFonts w:ascii="Avenir" w:hAnsi="Avenir" w:cs="Times New Roman"/>
        </w:rPr>
        <w:t>UK’s public electoral spending database</w:t>
      </w:r>
      <w:r w:rsidR="001926BD">
        <w:rPr>
          <w:rFonts w:ascii="Avenir" w:hAnsi="Avenir" w:cs="Times New Roman"/>
        </w:rPr>
        <w:t xml:space="preserve">, this report advances our </w:t>
      </w:r>
      <w:r w:rsidR="001926BD" w:rsidRPr="00171C2D">
        <w:rPr>
          <w:rFonts w:ascii="Avenir" w:hAnsi="Avenir" w:cs="Times New Roman"/>
        </w:rPr>
        <w:t>understanding of the nature of modern campaigns</w:t>
      </w:r>
      <w:r w:rsidR="001926BD">
        <w:rPr>
          <w:rFonts w:ascii="Avenir" w:hAnsi="Avenir" w:cs="Times New Roman"/>
        </w:rPr>
        <w:t xml:space="preserve"> by revealing what services external suppliers are providing to </w:t>
      </w:r>
      <w:r w:rsidRPr="00171C2D">
        <w:rPr>
          <w:rFonts w:ascii="Avenir" w:hAnsi="Avenir" w:cs="Times New Roman"/>
        </w:rPr>
        <w:t>parties in election campaigns</w:t>
      </w:r>
      <w:r w:rsidR="001926BD">
        <w:rPr>
          <w:rFonts w:ascii="Avenir" w:hAnsi="Avenir" w:cs="Times New Roman"/>
        </w:rPr>
        <w:t xml:space="preserve">. </w:t>
      </w:r>
    </w:p>
    <w:p w14:paraId="7318F531" w14:textId="77777777" w:rsidR="001926BD" w:rsidRDefault="001926BD">
      <w:pPr>
        <w:pStyle w:val="NormalWeb"/>
        <w:shd w:val="clear" w:color="auto" w:fill="FFFFFF"/>
        <w:spacing w:beforeAutospacing="0" w:afterAutospacing="0"/>
        <w:jc w:val="both"/>
        <w:rPr>
          <w:rFonts w:ascii="Avenir" w:hAnsi="Avenir" w:cs="Times New Roman"/>
        </w:rPr>
      </w:pPr>
    </w:p>
    <w:p w14:paraId="48D6C081" w14:textId="1A6B8F9B" w:rsidR="00765F80" w:rsidRDefault="001926BD">
      <w:pPr>
        <w:pStyle w:val="NormalWeb"/>
        <w:shd w:val="clear" w:color="auto" w:fill="FFFFFF"/>
        <w:spacing w:beforeAutospacing="0" w:afterAutospacing="0"/>
        <w:jc w:val="both"/>
        <w:rPr>
          <w:rFonts w:ascii="Avenir" w:hAnsi="Avenir" w:cs="Times New Roman"/>
        </w:rPr>
      </w:pPr>
      <w:r>
        <w:rPr>
          <w:rFonts w:ascii="Avenir" w:hAnsi="Avenir" w:cs="Times New Roman"/>
        </w:rPr>
        <w:t xml:space="preserve">In addition, </w:t>
      </w:r>
      <w:r w:rsidR="00765F80">
        <w:rPr>
          <w:rFonts w:ascii="Avenir" w:hAnsi="Avenir" w:cs="Times New Roman"/>
        </w:rPr>
        <w:t>b</w:t>
      </w:r>
      <w:r w:rsidR="00765F80" w:rsidRPr="00171C2D">
        <w:rPr>
          <w:rFonts w:ascii="Avenir" w:hAnsi="Avenir" w:cs="Times New Roman"/>
        </w:rPr>
        <w:t xml:space="preserve">y systematically coding the content of invoices provided </w:t>
      </w:r>
      <w:r w:rsidR="00765F80">
        <w:rPr>
          <w:rFonts w:ascii="Avenir" w:hAnsi="Avenir" w:cs="Times New Roman"/>
        </w:rPr>
        <w:t xml:space="preserve">to the Electoral Commission, we </w:t>
      </w:r>
      <w:r>
        <w:rPr>
          <w:rFonts w:ascii="Avenir" w:hAnsi="Avenir" w:cs="Times New Roman"/>
        </w:rPr>
        <w:t xml:space="preserve">consider the sufficiency of existing transparency and </w:t>
      </w:r>
      <w:r w:rsidR="000D6BB0" w:rsidRPr="00171C2D">
        <w:rPr>
          <w:rFonts w:ascii="Avenir" w:hAnsi="Avenir" w:cs="Times New Roman"/>
        </w:rPr>
        <w:t xml:space="preserve">accountability systems. </w:t>
      </w:r>
      <w:r w:rsidR="00765F80">
        <w:rPr>
          <w:rFonts w:ascii="Avenir" w:hAnsi="Avenir" w:cs="Times New Roman"/>
        </w:rPr>
        <w:t xml:space="preserve">Making a series of </w:t>
      </w:r>
      <w:r w:rsidR="000D6BB0" w:rsidRPr="00171C2D">
        <w:rPr>
          <w:rFonts w:ascii="Avenir" w:hAnsi="Avenir" w:cs="Times New Roman"/>
        </w:rPr>
        <w:t>recommendations focus</w:t>
      </w:r>
      <w:r w:rsidR="00765F80">
        <w:rPr>
          <w:rFonts w:ascii="Avenir" w:hAnsi="Avenir" w:cs="Times New Roman"/>
        </w:rPr>
        <w:t xml:space="preserve">ed </w:t>
      </w:r>
      <w:r w:rsidR="000D6BB0" w:rsidRPr="00171C2D">
        <w:rPr>
          <w:rFonts w:ascii="Avenir" w:hAnsi="Avenir" w:cs="Times New Roman"/>
        </w:rPr>
        <w:t xml:space="preserve">on the UK, </w:t>
      </w:r>
      <w:r w:rsidR="00765F80">
        <w:rPr>
          <w:rFonts w:ascii="Avenir" w:hAnsi="Avenir" w:cs="Times New Roman"/>
        </w:rPr>
        <w:t>this report</w:t>
      </w:r>
      <w:r w:rsidR="00765F80" w:rsidRPr="00171C2D">
        <w:rPr>
          <w:rFonts w:ascii="Avenir" w:hAnsi="Avenir" w:cs="Times New Roman"/>
        </w:rPr>
        <w:t xml:space="preserve"> raises pressing new questions about the requirements for meaningful transparency</w:t>
      </w:r>
      <w:r w:rsidR="00765F80">
        <w:rPr>
          <w:rFonts w:ascii="Avenir" w:hAnsi="Avenir" w:cs="Times New Roman"/>
        </w:rPr>
        <w:t>.</w:t>
      </w:r>
    </w:p>
    <w:p w14:paraId="39317F41" w14:textId="5D5BCA69" w:rsidR="00765F80" w:rsidRDefault="00765F80">
      <w:pPr>
        <w:pStyle w:val="NormalWeb"/>
        <w:shd w:val="clear" w:color="auto" w:fill="FFFFFF"/>
        <w:spacing w:beforeAutospacing="0" w:afterAutospacing="0"/>
        <w:jc w:val="both"/>
        <w:rPr>
          <w:rFonts w:ascii="Avenir" w:hAnsi="Avenir" w:cs="Times New Roman"/>
        </w:rPr>
      </w:pPr>
    </w:p>
    <w:p w14:paraId="425831F3" w14:textId="2B70FD09" w:rsidR="00B556DE" w:rsidRPr="001926BD" w:rsidRDefault="00765F80">
      <w:pPr>
        <w:pStyle w:val="NormalWeb"/>
        <w:shd w:val="clear" w:color="auto" w:fill="FFFFFF"/>
        <w:spacing w:beforeAutospacing="0" w:afterAutospacing="0"/>
        <w:jc w:val="both"/>
        <w:rPr>
          <w:rFonts w:ascii="Avenir" w:hAnsi="Avenir" w:cs="Times New Roman"/>
        </w:rPr>
      </w:pPr>
      <w:r>
        <w:rPr>
          <w:rFonts w:ascii="Avenir" w:hAnsi="Avenir" w:cs="Times New Roman"/>
        </w:rPr>
        <w:t xml:space="preserve">Providing unprecedented insight into UK elections, this report offers a range of insights and recommendations </w:t>
      </w:r>
      <w:r w:rsidR="000D6BB0" w:rsidRPr="00171C2D">
        <w:rPr>
          <w:rFonts w:ascii="Avenir" w:hAnsi="Avenir" w:cs="Times New Roman"/>
        </w:rPr>
        <w:t>that can usefully be drawn by those seeking to increase transparency and oversight in other countries. </w:t>
      </w:r>
    </w:p>
    <w:sectPr w:rsidR="00B556DE" w:rsidRPr="001926BD">
      <w:headerReference w:type="default" r:id="rId58"/>
      <w:pgSz w:w="12240" w:h="15840"/>
      <w:pgMar w:top="1440" w:right="1440" w:bottom="1440" w:left="1440" w:header="720" w:footer="0" w:gutter="0"/>
      <w:pgNumType w:start="1"/>
      <w:cols w:space="720"/>
      <w:formProt w:val="0"/>
      <w:docGrid w:linePitch="10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isa Hagman" w:date="2022-10-05T13:04:00Z" w:initials="LH">
    <w:p w14:paraId="71922EAF" w14:textId="690FC56C" w:rsidR="00EC60C7" w:rsidRDefault="00EC60C7">
      <w:pPr>
        <w:pStyle w:val="CommentText"/>
      </w:pPr>
      <w:r>
        <w:rPr>
          <w:rStyle w:val="CommentReference"/>
        </w:rPr>
        <w:annotationRef/>
      </w:r>
      <w:r>
        <w:t>For the test: please start here.</w:t>
      </w:r>
    </w:p>
  </w:comment>
  <w:comment w:id="2" w:author="Lisa Hagman" w:date="2022-10-05T13:03:00Z" w:initials="LH">
    <w:p w14:paraId="6F355ACD" w14:textId="495050E5" w:rsidR="00BD56F4" w:rsidRDefault="00BD56F4">
      <w:pPr>
        <w:pStyle w:val="CommentText"/>
      </w:pPr>
      <w:r>
        <w:rPr>
          <w:rStyle w:val="CommentReference"/>
        </w:rPr>
        <w:annotationRef/>
      </w:r>
      <w:r>
        <w:t>For the test: please end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922EAF" w15:done="0"/>
  <w15:commentEx w15:paraId="6F355A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7FF68" w16cex:dateUtc="2022-10-05T11:04:00Z"/>
  <w16cex:commentExtensible w16cex:durableId="26E7FF2E" w16cex:dateUtc="2022-10-05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922EAF" w16cid:durableId="26E7FF68"/>
  <w16cid:commentId w16cid:paraId="6F355ACD" w16cid:durableId="26E7FF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2D483" w14:textId="77777777" w:rsidR="001D59CF" w:rsidRDefault="001D59CF">
      <w:pPr>
        <w:spacing w:line="240" w:lineRule="auto"/>
      </w:pPr>
      <w:r>
        <w:separator/>
      </w:r>
    </w:p>
  </w:endnote>
  <w:endnote w:type="continuationSeparator" w:id="0">
    <w:p w14:paraId="72DA9822" w14:textId="77777777" w:rsidR="001D59CF" w:rsidRDefault="001D59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1"/>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w:altName w:val="Cambria"/>
    <w:charset w:val="4D"/>
    <w:family w:val="swiss"/>
    <w:pitch w:val="variable"/>
    <w:sig w:usb0="800000AF" w:usb1="5000204A" w:usb2="00000000" w:usb3="00000000" w:csb0="0000009B" w:csb1="00000000"/>
  </w:font>
  <w:font w:name="Avenir Book">
    <w:altName w:val="Tw Cen MT"/>
    <w:charset w:val="00"/>
    <w:family w:val="auto"/>
    <w:pitch w:val="variable"/>
    <w:sig w:usb0="800000AF" w:usb1="5000204A" w:usb2="00000000" w:usb3="00000000" w:csb0="0000009B"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5AC8" w14:textId="77777777" w:rsidR="001D59CF" w:rsidRDefault="001D59CF">
      <w:pPr>
        <w:rPr>
          <w:sz w:val="12"/>
        </w:rPr>
      </w:pPr>
    </w:p>
  </w:footnote>
  <w:footnote w:type="continuationSeparator" w:id="0">
    <w:p w14:paraId="5E71C462" w14:textId="77777777" w:rsidR="001D59CF" w:rsidRDefault="001D59CF">
      <w:pPr>
        <w:rPr>
          <w:sz w:val="12"/>
        </w:rPr>
      </w:pPr>
    </w:p>
  </w:footnote>
  <w:footnote w:id="1">
    <w:p w14:paraId="70C3191C" w14:textId="77777777" w:rsidR="00B556DE" w:rsidRDefault="000D6BB0">
      <w:pPr>
        <w:spacing w:line="240" w:lineRule="auto"/>
        <w:rPr>
          <w:sz w:val="20"/>
          <w:szCs w:val="20"/>
        </w:rPr>
      </w:pPr>
      <w:r>
        <w:rPr>
          <w:rStyle w:val="FootnoteCharacters"/>
        </w:rPr>
        <w:footnoteRef/>
      </w:r>
      <w:r>
        <w:rPr>
          <w:sz w:val="20"/>
          <w:szCs w:val="20"/>
        </w:rPr>
        <w:t xml:space="preserve"> Although not always. For example, in 2010 the Conservatives </w:t>
      </w:r>
      <w:proofErr w:type="gramStart"/>
      <w:r>
        <w:rPr>
          <w:sz w:val="20"/>
          <w:szCs w:val="20"/>
        </w:rPr>
        <w:t>entered into</w:t>
      </w:r>
      <w:proofErr w:type="gramEnd"/>
      <w:r>
        <w:rPr>
          <w:sz w:val="20"/>
          <w:szCs w:val="20"/>
        </w:rPr>
        <w:t xml:space="preserve"> a coalition with the Liberal Democrats in order to secure power, and in 2017 (following a hung parliament), they secured a Confidence and Supply Agreement with the Democratic Unionist Party (DUP) (Cabinet Office 2017). </w:t>
      </w:r>
    </w:p>
  </w:footnote>
  <w:footnote w:id="2">
    <w:p w14:paraId="07A73E29" w14:textId="77777777" w:rsidR="00B556DE" w:rsidRDefault="000D6BB0">
      <w:pPr>
        <w:spacing w:line="240" w:lineRule="auto"/>
        <w:rPr>
          <w:sz w:val="20"/>
          <w:szCs w:val="20"/>
        </w:rPr>
      </w:pPr>
      <w:r>
        <w:rPr>
          <w:rStyle w:val="FootnoteCharacters"/>
        </w:rPr>
        <w:footnoteRef/>
      </w:r>
      <w:r>
        <w:rPr>
          <w:sz w:val="20"/>
          <w:szCs w:val="20"/>
        </w:rPr>
        <w:t xml:space="preserve"> Sinn Féin MPs follow a policy of abstentionism, and therefore do not take these seats in the UK House of Commons.</w:t>
      </w:r>
    </w:p>
  </w:footnote>
  <w:footnote w:id="3">
    <w:p w14:paraId="36086F74" w14:textId="77777777" w:rsidR="00B556DE" w:rsidRDefault="000D6BB0">
      <w:pPr>
        <w:spacing w:line="240" w:lineRule="auto"/>
        <w:rPr>
          <w:sz w:val="20"/>
          <w:szCs w:val="20"/>
        </w:rPr>
      </w:pPr>
      <w:r>
        <w:rPr>
          <w:rStyle w:val="FootnoteCharacters"/>
        </w:rPr>
        <w:footnoteRef/>
      </w:r>
      <w:r>
        <w:rPr>
          <w:sz w:val="20"/>
          <w:szCs w:val="20"/>
        </w:rPr>
        <w:t xml:space="preserve"> This includes the Green Party of England and Wales, and the Scottish Green Party.</w:t>
      </w:r>
    </w:p>
  </w:footnote>
  <w:footnote w:id="4">
    <w:p w14:paraId="7CA896B2" w14:textId="77777777" w:rsidR="00B556DE" w:rsidRDefault="000D6BB0">
      <w:pPr>
        <w:spacing w:line="240" w:lineRule="auto"/>
        <w:rPr>
          <w:sz w:val="20"/>
          <w:szCs w:val="20"/>
        </w:rPr>
      </w:pPr>
      <w:r>
        <w:rPr>
          <w:rStyle w:val="FootnoteCharacters"/>
        </w:rPr>
        <w:footnoteRef/>
      </w:r>
      <w:r>
        <w:rPr>
          <w:sz w:val="20"/>
          <w:szCs w:val="20"/>
        </w:rPr>
        <w:t xml:space="preserve"> </w:t>
      </w:r>
      <w:proofErr w:type="gramStart"/>
      <w:r>
        <w:rPr>
          <w:sz w:val="20"/>
          <w:szCs w:val="20"/>
        </w:rPr>
        <w:t>In reality, however</w:t>
      </w:r>
      <w:proofErr w:type="gramEnd"/>
      <w:r>
        <w:rPr>
          <w:sz w:val="20"/>
          <w:szCs w:val="20"/>
        </w:rPr>
        <w:t xml:space="preserve">, different parties stand in the different devolved administrations (particularly in Northern Ireland). </w:t>
      </w:r>
      <w:proofErr w:type="gramStart"/>
      <w:r>
        <w:rPr>
          <w:sz w:val="20"/>
          <w:szCs w:val="20"/>
        </w:rPr>
        <w:t>So</w:t>
      </w:r>
      <w:proofErr w:type="gramEnd"/>
      <w:r>
        <w:rPr>
          <w:sz w:val="20"/>
          <w:szCs w:val="20"/>
        </w:rPr>
        <w:t xml:space="preserve"> the ‘true’ spending limit is more accurately £18.96 million.</w:t>
      </w:r>
    </w:p>
  </w:footnote>
  <w:footnote w:id="5">
    <w:p w14:paraId="6AAA1788" w14:textId="77777777" w:rsidR="00B556DE" w:rsidRDefault="000D6BB0">
      <w:pPr>
        <w:spacing w:line="240" w:lineRule="auto"/>
        <w:rPr>
          <w:sz w:val="20"/>
          <w:szCs w:val="20"/>
        </w:rPr>
      </w:pPr>
      <w:r>
        <w:rPr>
          <w:rStyle w:val="FootnoteCharacters"/>
        </w:rPr>
        <w:footnoteRef/>
      </w:r>
      <w:r>
        <w:rPr>
          <w:sz w:val="20"/>
          <w:szCs w:val="20"/>
        </w:rPr>
        <w:t xml:space="preserve"> For more information on the short and long campaign, see: White (2015). </w:t>
      </w:r>
    </w:p>
  </w:footnote>
  <w:footnote w:id="6">
    <w:p w14:paraId="1A55B9C4" w14:textId="77777777" w:rsidR="00B556DE" w:rsidRDefault="000D6BB0">
      <w:pPr>
        <w:spacing w:line="240" w:lineRule="auto"/>
        <w:rPr>
          <w:sz w:val="20"/>
          <w:szCs w:val="20"/>
        </w:rPr>
      </w:pPr>
      <w:r>
        <w:rPr>
          <w:rStyle w:val="FootnoteCharacters"/>
        </w:rPr>
        <w:footnoteRef/>
      </w:r>
      <w:r>
        <w:rPr>
          <w:sz w:val="20"/>
          <w:szCs w:val="20"/>
        </w:rPr>
        <w:t xml:space="preserve"> For additional spending guidance from the Electoral Commission, see: Electoral Commission (2019: 17). Note: the 10th category, ‘balancing items’, has not been used since 2010. </w:t>
      </w:r>
    </w:p>
  </w:footnote>
  <w:footnote w:id="7">
    <w:p w14:paraId="65C44342" w14:textId="12E0137A" w:rsidR="00B556DE" w:rsidRDefault="000D6BB0">
      <w:pPr>
        <w:spacing w:line="240" w:lineRule="auto"/>
        <w:rPr>
          <w:sz w:val="20"/>
          <w:szCs w:val="20"/>
        </w:rPr>
      </w:pPr>
      <w:r>
        <w:rPr>
          <w:rStyle w:val="FootnoteCharacters"/>
        </w:rPr>
        <w:footnoteRef/>
      </w:r>
      <w:r>
        <w:rPr>
          <w:sz w:val="20"/>
          <w:szCs w:val="20"/>
        </w:rPr>
        <w:t xml:space="preserve"> A list of parties registered with the UK Electoral Commission can be found here and filtered by date to identify those registered in 2019: </w:t>
      </w:r>
      <w:r w:rsidR="006E5855">
        <w:rPr>
          <w:sz w:val="20"/>
          <w:szCs w:val="20"/>
        </w:rPr>
        <w:t>&lt;</w:t>
      </w:r>
      <w:hyperlink r:id="rId1">
        <w:r>
          <w:rPr>
            <w:color w:val="1155CC"/>
            <w:sz w:val="20"/>
            <w:szCs w:val="20"/>
            <w:u w:val="single"/>
          </w:rPr>
          <w:t>http://search.electoralcommission.org.uk/Search/Registrations?currentPage=1&amp;rows=30&amp;sort=RegulatedEntityName&amp;order=asc&amp;open=filter&amp;et=pp&amp;et=ppm&amp;from=2019-12-11&amp;to=&amp;register=gb&amp;regStatus=registered&amp;optCols=EntityStatusName</w:t>
        </w:r>
      </w:hyperlink>
      <w:r w:rsidR="006E5855">
        <w:rPr>
          <w:sz w:val="20"/>
          <w:szCs w:val="20"/>
        </w:rPr>
        <w:t>&gt;, accessed 3 April 2022</w:t>
      </w:r>
      <w:r>
        <w:rPr>
          <w:sz w:val="20"/>
          <w:szCs w:val="20"/>
        </w:rPr>
        <w:t>.</w:t>
      </w:r>
      <w:r w:rsidR="009014F3">
        <w:rPr>
          <w:sz w:val="20"/>
          <w:szCs w:val="20"/>
        </w:rPr>
        <w:t xml:space="preserve"> </w:t>
      </w:r>
    </w:p>
  </w:footnote>
  <w:footnote w:id="8">
    <w:p w14:paraId="35551784" w14:textId="7A2CAE3C" w:rsidR="00B556DE" w:rsidRDefault="00B556DE">
      <w:pPr>
        <w:spacing w:line="240" w:lineRule="auto"/>
        <w:rPr>
          <w:sz w:val="20"/>
          <w:szCs w:val="20"/>
        </w:rPr>
      </w:pPr>
    </w:p>
  </w:footnote>
  <w:footnote w:id="9">
    <w:p w14:paraId="24D6160A" w14:textId="77777777" w:rsidR="00B556DE" w:rsidRDefault="000D6BB0">
      <w:pPr>
        <w:spacing w:line="240" w:lineRule="auto"/>
        <w:rPr>
          <w:sz w:val="20"/>
          <w:szCs w:val="20"/>
        </w:rPr>
      </w:pPr>
      <w:r>
        <w:rPr>
          <w:rStyle w:val="FootnoteCharacters"/>
        </w:rPr>
        <w:footnoteRef/>
      </w:r>
      <w:r>
        <w:rPr>
          <w:sz w:val="20"/>
          <w:szCs w:val="20"/>
        </w:rPr>
        <w:t xml:space="preserve"> The research team took the decision to exclude invoices declared as related to ‘transport’ for two reasons. First, this category was less analytically interesting than the others, as an exploratory analysis showed that invoices tended to relate to mileage, vehicle hire or train fares, and there were few examples of activity that fell outside this. Second, there was an exceptionally high number of invoices in this category, hence the research team focused efforts upon the other Electoral Commission categories. </w:t>
      </w:r>
    </w:p>
  </w:footnote>
  <w:footnote w:id="10">
    <w:p w14:paraId="0192A7B0" w14:textId="77777777" w:rsidR="00B556DE" w:rsidRDefault="000D6BB0">
      <w:pPr>
        <w:spacing w:line="240" w:lineRule="auto"/>
        <w:rPr>
          <w:rFonts w:ascii="Avenir" w:eastAsia="Avenir" w:hAnsi="Avenir" w:cs="Avenir"/>
          <w:sz w:val="20"/>
          <w:szCs w:val="20"/>
        </w:rPr>
      </w:pPr>
      <w:r>
        <w:rPr>
          <w:rStyle w:val="FootnoteCharacters"/>
        </w:rPr>
        <w:footnoteRef/>
      </w:r>
      <w:r>
        <w:rPr>
          <w:rFonts w:ascii="Avenir" w:eastAsia="Avenir" w:hAnsi="Avenir" w:cs="Avenir"/>
          <w:sz w:val="20"/>
          <w:szCs w:val="20"/>
        </w:rPr>
        <w:t xml:space="preserve"> For many suppliers, there was more than one invoice available, so this figure captures instances where at least one invoice was unclear.</w:t>
      </w:r>
    </w:p>
  </w:footnote>
  <w:footnote w:id="11">
    <w:p w14:paraId="7237B7BE" w14:textId="0DEB4828" w:rsidR="00B556DE" w:rsidRDefault="000D6BB0">
      <w:pPr>
        <w:pStyle w:val="FootnoteText"/>
        <w:rPr>
          <w:lang w:val="en-GB"/>
        </w:rPr>
      </w:pPr>
      <w:r>
        <w:rPr>
          <w:rStyle w:val="FootnoteCharacters"/>
        </w:rPr>
        <w:footnoteRef/>
      </w:r>
      <w:r>
        <w:t xml:space="preserve"> </w:t>
      </w:r>
      <w:r w:rsidR="00F20C31">
        <w:t>&lt;</w:t>
      </w:r>
      <w:hyperlink r:id="rId2">
        <w:r>
          <w:rPr>
            <w:rStyle w:val="Hyperlink"/>
          </w:rPr>
          <w:t>http://search.electoralcommission.org.uk/Search/Spending?currentPage=1&amp;rows=20&amp;query=Reading%20West%20CA&amp;sort=TotalExpenditure&amp;order=desc&amp;tab=1&amp;et=pp&amp;includeOutsideSection75=true&amp;evt=ukparliament&amp;ev=3696&amp;optCols=ExpenseCategoryName&amp;optCols=AmountInEngland&amp;optCols=AmountInScotland&amp;optCols=AmountInWales&amp;optCols=AmountInNorthernIreland&amp;optCols=DatePaid</w:t>
        </w:r>
      </w:hyperlink>
      <w:r w:rsidR="00F20C31">
        <w:rPr>
          <w:rStyle w:val="Hyperlink"/>
          <w:color w:val="auto"/>
          <w:u w:val="none"/>
        </w:rPr>
        <w:t>&gt;</w:t>
      </w:r>
      <w:r>
        <w:t xml:space="preserve"> </w:t>
      </w:r>
    </w:p>
  </w:footnote>
  <w:footnote w:id="12">
    <w:p w14:paraId="2AA5093E" w14:textId="77777777" w:rsidR="00556C1B" w:rsidRDefault="00556C1B" w:rsidP="00556C1B">
      <w:pPr>
        <w:spacing w:line="240" w:lineRule="auto"/>
        <w:rPr>
          <w:rFonts w:ascii="Avenir" w:eastAsia="Avenir" w:hAnsi="Avenir" w:cs="Avenir"/>
          <w:sz w:val="20"/>
          <w:szCs w:val="20"/>
        </w:rPr>
      </w:pPr>
      <w:r>
        <w:rPr>
          <w:rStyle w:val="FootnoteCharacters"/>
        </w:rPr>
        <w:footnoteRef/>
      </w:r>
      <w:r>
        <w:rPr>
          <w:rFonts w:ascii="Avenir" w:eastAsia="Avenir" w:hAnsi="Avenir" w:cs="Avenir"/>
          <w:sz w:val="20"/>
          <w:szCs w:val="20"/>
        </w:rPr>
        <w:t xml:space="preserve"> Indeed, most invoices (that the research team coded) </w:t>
      </w:r>
      <w:hyperlink r:id="rId3">
        <w:r>
          <w:rPr>
            <w:rFonts w:ascii="Avenir" w:eastAsia="Avenir" w:hAnsi="Avenir" w:cs="Avenir"/>
            <w:color w:val="1155CC"/>
            <w:sz w:val="20"/>
            <w:szCs w:val="20"/>
            <w:u w:val="single"/>
          </w:rPr>
          <w:t>supplied by Plaid Cymru</w:t>
        </w:r>
      </w:hyperlink>
      <w:r>
        <w:rPr>
          <w:rFonts w:ascii="Avenir" w:eastAsia="Avenir" w:hAnsi="Avenir" w:cs="Avenir"/>
          <w:sz w:val="20"/>
          <w:szCs w:val="20"/>
        </w:rPr>
        <w:t xml:space="preserve"> were entirely blank.</w:t>
      </w:r>
    </w:p>
  </w:footnote>
  <w:footnote w:id="13">
    <w:p w14:paraId="639A6D94" w14:textId="7351620D" w:rsidR="00B556DE" w:rsidRDefault="000D6BB0">
      <w:pPr>
        <w:pStyle w:val="FootnoteText"/>
        <w:rPr>
          <w:lang w:val="en-GB"/>
        </w:rPr>
      </w:pPr>
      <w:r>
        <w:rPr>
          <w:rStyle w:val="FootnoteCharacters"/>
        </w:rPr>
        <w:footnoteRef/>
      </w:r>
      <w:r>
        <w:t xml:space="preserve"> </w:t>
      </w:r>
      <w:r w:rsidR="00F20C31">
        <w:t>&lt;</w:t>
      </w:r>
      <w:hyperlink r:id="rId4">
        <w:r>
          <w:rPr>
            <w:rStyle w:val="Hyperlink"/>
          </w:rPr>
          <w:t>http://search.electoralcommission.org.uk/Api/Spending/Invoices/64590</w:t>
        </w:r>
      </w:hyperlink>
      <w:r w:rsidR="00F20C31">
        <w:rPr>
          <w:rStyle w:val="Hyperlink"/>
          <w:color w:val="auto"/>
          <w:u w:val="none"/>
        </w:rPr>
        <w:t>&gt;</w:t>
      </w:r>
      <w:r>
        <w:t xml:space="preserve"> </w:t>
      </w:r>
    </w:p>
  </w:footnote>
  <w:footnote w:id="14">
    <w:p w14:paraId="366AA69A" w14:textId="142B8E47" w:rsidR="00B556DE" w:rsidRDefault="000D6BB0">
      <w:pPr>
        <w:pStyle w:val="FootnoteText"/>
        <w:rPr>
          <w:lang w:val="en-GB"/>
        </w:rPr>
      </w:pPr>
      <w:r>
        <w:rPr>
          <w:rStyle w:val="FootnoteCharacters"/>
        </w:rPr>
        <w:footnoteRef/>
      </w:r>
      <w:r>
        <w:t xml:space="preserve"> </w:t>
      </w:r>
      <w:r w:rsidR="00F20C31">
        <w:t>&lt;</w:t>
      </w:r>
      <w:hyperlink r:id="rId5">
        <w:r>
          <w:rPr>
            <w:rStyle w:val="Hyperlink"/>
          </w:rPr>
          <w:t>http://search.electoralcommission.org.uk/Api/Spending/Invoices/68079</w:t>
        </w:r>
      </w:hyperlink>
      <w:r w:rsidR="00F20C31">
        <w:rPr>
          <w:rStyle w:val="Hyperlink"/>
          <w:color w:val="auto"/>
          <w:u w:val="none"/>
        </w:rPr>
        <w:t>&gt;</w:t>
      </w:r>
      <w:r>
        <w:t xml:space="preserve"> </w:t>
      </w:r>
    </w:p>
  </w:footnote>
  <w:footnote w:id="15">
    <w:p w14:paraId="348621A3" w14:textId="65FDEF84" w:rsidR="00B556DE" w:rsidRDefault="000D6BB0">
      <w:pPr>
        <w:pStyle w:val="FootnoteText"/>
        <w:rPr>
          <w:lang w:val="en-GB"/>
        </w:rPr>
      </w:pPr>
      <w:r>
        <w:rPr>
          <w:rStyle w:val="FootnoteCharacters"/>
        </w:rPr>
        <w:footnoteRef/>
      </w:r>
      <w:r>
        <w:t xml:space="preserve"> </w:t>
      </w:r>
      <w:r w:rsidR="00F20C31">
        <w:t>&lt;</w:t>
      </w:r>
      <w:hyperlink r:id="rId6">
        <w:r>
          <w:rPr>
            <w:rStyle w:val="Hyperlink"/>
          </w:rPr>
          <w:t>http://search.electoralcommission.org.uk/Api/Spending/Invoices/71362</w:t>
        </w:r>
      </w:hyperlink>
      <w:r w:rsidR="00F20C31">
        <w:rPr>
          <w:rStyle w:val="Hyperlink"/>
          <w:color w:val="auto"/>
          <w:u w:val="none"/>
        </w:rPr>
        <w:t>&gt;</w:t>
      </w:r>
      <w:r>
        <w:t xml:space="preserve"> </w:t>
      </w:r>
    </w:p>
  </w:footnote>
  <w:footnote w:id="16">
    <w:p w14:paraId="18C52CD4" w14:textId="59DA7DDB" w:rsidR="00B556DE" w:rsidRDefault="000D6BB0">
      <w:pPr>
        <w:pStyle w:val="FootnoteText"/>
        <w:rPr>
          <w:lang w:val="en-GB"/>
        </w:rPr>
      </w:pPr>
      <w:r>
        <w:rPr>
          <w:rStyle w:val="FootnoteCharacters"/>
        </w:rPr>
        <w:footnoteRef/>
      </w:r>
      <w:r>
        <w:t xml:space="preserve"> </w:t>
      </w:r>
      <w:r w:rsidR="00F20C31">
        <w:t>&lt;</w:t>
      </w:r>
      <w:hyperlink r:id="rId7">
        <w:r>
          <w:rPr>
            <w:rStyle w:val="Hyperlink"/>
          </w:rPr>
          <w:t>http://search.electoralcommission.org.uk/Api/Spending/Invoices/67188</w:t>
        </w:r>
      </w:hyperlink>
      <w:r w:rsidR="00F20C31">
        <w:rPr>
          <w:rStyle w:val="Hyperlink"/>
          <w:color w:val="auto"/>
          <w:u w:val="none"/>
        </w:rPr>
        <w:t>&gt;</w:t>
      </w:r>
      <w:r>
        <w:t xml:space="preserve"> </w:t>
      </w:r>
    </w:p>
  </w:footnote>
  <w:footnote w:id="17">
    <w:p w14:paraId="5F5586D9" w14:textId="2E1B31C5" w:rsidR="00B556DE" w:rsidRDefault="000D6BB0">
      <w:pPr>
        <w:pStyle w:val="FootnoteText"/>
        <w:rPr>
          <w:lang w:val="en-GB"/>
        </w:rPr>
      </w:pPr>
      <w:r>
        <w:rPr>
          <w:rStyle w:val="FootnoteCharacters"/>
        </w:rPr>
        <w:footnoteRef/>
      </w:r>
      <w:r>
        <w:t xml:space="preserve"> </w:t>
      </w:r>
      <w:r w:rsidR="00F20C31">
        <w:t>&lt;</w:t>
      </w:r>
      <w:hyperlink r:id="rId8">
        <w:r>
          <w:rPr>
            <w:rStyle w:val="Hyperlink"/>
          </w:rPr>
          <w:t>http://search.electoralcommission.org.uk/Api/Spending/Invoices/68444</w:t>
        </w:r>
      </w:hyperlink>
      <w:r w:rsidR="00F20C31">
        <w:rPr>
          <w:rStyle w:val="Hyperlink"/>
          <w:color w:val="auto"/>
          <w:u w:val="none"/>
        </w:rPr>
        <w:t>&gt;</w:t>
      </w:r>
      <w:r>
        <w:t xml:space="preserve"> </w:t>
      </w:r>
    </w:p>
  </w:footnote>
  <w:footnote w:id="18">
    <w:p w14:paraId="6F2317C2" w14:textId="64512C07" w:rsidR="00B556DE" w:rsidRDefault="000D6BB0">
      <w:pPr>
        <w:pStyle w:val="FootnoteText"/>
        <w:rPr>
          <w:lang w:val="en-GB"/>
        </w:rPr>
      </w:pPr>
      <w:r>
        <w:rPr>
          <w:rStyle w:val="FootnoteCharacters"/>
        </w:rPr>
        <w:footnoteRef/>
      </w:r>
      <w:r>
        <w:t xml:space="preserve"> </w:t>
      </w:r>
      <w:r w:rsidR="00F20C31">
        <w:t>&lt;</w:t>
      </w:r>
      <w:hyperlink r:id="rId9">
        <w:r>
          <w:rPr>
            <w:rStyle w:val="Hyperlink"/>
          </w:rPr>
          <w:t>http://search.electoralcommission.org.uk/Api/Spending/Invoices/68473</w:t>
        </w:r>
      </w:hyperlink>
      <w:r w:rsidR="00F20C31">
        <w:rPr>
          <w:rStyle w:val="Hyperlink"/>
          <w:color w:val="auto"/>
          <w:u w:val="none"/>
        </w:rPr>
        <w:t>&gt;</w:t>
      </w:r>
      <w:r>
        <w:t xml:space="preserve"> </w:t>
      </w:r>
    </w:p>
  </w:footnote>
  <w:footnote w:id="19">
    <w:p w14:paraId="30536104" w14:textId="1913041A" w:rsidR="00B556DE" w:rsidRDefault="000D6BB0">
      <w:pPr>
        <w:pStyle w:val="FootnoteText"/>
        <w:rPr>
          <w:lang w:val="en-GB"/>
        </w:rPr>
      </w:pPr>
      <w:r>
        <w:rPr>
          <w:rStyle w:val="FootnoteCharacters"/>
        </w:rPr>
        <w:footnoteRef/>
      </w:r>
      <w:r>
        <w:t xml:space="preserve"> </w:t>
      </w:r>
      <w:r w:rsidR="00F20C31">
        <w:t>&lt;</w:t>
      </w:r>
      <w:hyperlink r:id="rId10">
        <w:r>
          <w:rPr>
            <w:rStyle w:val="Hyperlink"/>
          </w:rPr>
          <w:t>http://search.electoralcommission.org.uk/Api/Spending/Invoices/65018</w:t>
        </w:r>
      </w:hyperlink>
      <w:r w:rsidR="00F20C31">
        <w:rPr>
          <w:rStyle w:val="Hyperlink"/>
          <w:color w:val="auto"/>
          <w:u w:val="none"/>
        </w:rPr>
        <w:t>&gt;</w:t>
      </w:r>
    </w:p>
  </w:footnote>
  <w:footnote w:id="20">
    <w:p w14:paraId="09BDB3E4" w14:textId="09912115" w:rsidR="00B556DE" w:rsidRDefault="000D6BB0">
      <w:pPr>
        <w:pStyle w:val="FootnoteText"/>
        <w:rPr>
          <w:lang w:val="en-GB"/>
        </w:rPr>
      </w:pPr>
      <w:r>
        <w:rPr>
          <w:rStyle w:val="FootnoteCharacters"/>
        </w:rPr>
        <w:footnoteRef/>
      </w:r>
      <w:r>
        <w:t xml:space="preserve"> </w:t>
      </w:r>
      <w:r w:rsidR="00F20C31">
        <w:t>&lt;</w:t>
      </w:r>
      <w:hyperlink r:id="rId11">
        <w:r>
          <w:rPr>
            <w:rStyle w:val="Hyperlink"/>
          </w:rPr>
          <w:t>http://search.electoralcommission.org.uk/Api/Spending/Invoices/65307</w:t>
        </w:r>
      </w:hyperlink>
      <w:r w:rsidR="00F20C31">
        <w:rPr>
          <w:rStyle w:val="Hyperlink"/>
          <w:color w:val="auto"/>
          <w:u w:val="none"/>
        </w:rPr>
        <w:t>&gt;</w:t>
      </w:r>
      <w:r>
        <w:t xml:space="preserve"> </w:t>
      </w:r>
    </w:p>
  </w:footnote>
  <w:footnote w:id="21">
    <w:p w14:paraId="4DAAF8B6" w14:textId="7A0098E2" w:rsidR="00B556DE" w:rsidRDefault="000D6BB0">
      <w:pPr>
        <w:pStyle w:val="FootnoteText"/>
        <w:rPr>
          <w:lang w:val="en-GB"/>
        </w:rPr>
      </w:pPr>
      <w:r>
        <w:rPr>
          <w:rStyle w:val="FootnoteCharacters"/>
        </w:rPr>
        <w:footnoteRef/>
      </w:r>
      <w:r>
        <w:t xml:space="preserve"> </w:t>
      </w:r>
      <w:r w:rsidR="00F47A14">
        <w:t>&lt;</w:t>
      </w:r>
      <w:hyperlink r:id="rId12">
        <w:r>
          <w:rPr>
            <w:rStyle w:val="Hyperlink"/>
          </w:rPr>
          <w:t>http://search.electoralcommission.org.uk/Api/Spending/Invoices/66808</w:t>
        </w:r>
      </w:hyperlink>
      <w:r w:rsidR="004E2707">
        <w:rPr>
          <w:rStyle w:val="Hyperlink"/>
          <w:color w:val="auto"/>
          <w:u w:val="none"/>
        </w:rPr>
        <w:t>&gt;</w:t>
      </w:r>
      <w:r>
        <w:t xml:space="preserve"> </w:t>
      </w:r>
    </w:p>
  </w:footnote>
  <w:footnote w:id="22">
    <w:p w14:paraId="33143183" w14:textId="03F5FDCE" w:rsidR="00B556DE" w:rsidRDefault="000D6BB0">
      <w:pPr>
        <w:pStyle w:val="FootnoteText"/>
        <w:rPr>
          <w:lang w:val="en-GB"/>
        </w:rPr>
      </w:pPr>
      <w:r>
        <w:rPr>
          <w:rStyle w:val="FootnoteCharacters"/>
        </w:rPr>
        <w:footnoteRef/>
      </w:r>
      <w:r>
        <w:t xml:space="preserve"> </w:t>
      </w:r>
      <w:r w:rsidR="00F47A14">
        <w:t>&lt;</w:t>
      </w:r>
      <w:hyperlink r:id="rId13">
        <w:r>
          <w:rPr>
            <w:rStyle w:val="Hyperlink"/>
          </w:rPr>
          <w:t>http://search.electoralcommission.org.uk/Api/Spending/Invoices/68131</w:t>
        </w:r>
      </w:hyperlink>
      <w:r w:rsidR="004E2707">
        <w:rPr>
          <w:rStyle w:val="Hyperlink"/>
          <w:color w:val="auto"/>
          <w:u w:val="none"/>
        </w:rPr>
        <w:t>&gt;</w:t>
      </w:r>
      <w:r>
        <w:t xml:space="preserve"> </w:t>
      </w:r>
    </w:p>
  </w:footnote>
  <w:footnote w:id="23">
    <w:p w14:paraId="28BC4ECD" w14:textId="77777777" w:rsidR="00B556DE" w:rsidRDefault="000D6BB0">
      <w:pPr>
        <w:spacing w:line="240" w:lineRule="auto"/>
        <w:rPr>
          <w:rFonts w:ascii="Avenir" w:eastAsia="Avenir" w:hAnsi="Avenir" w:cs="Avenir"/>
          <w:sz w:val="20"/>
          <w:szCs w:val="20"/>
        </w:rPr>
      </w:pPr>
      <w:r>
        <w:rPr>
          <w:rStyle w:val="FootnoteCharacters"/>
        </w:rPr>
        <w:footnoteRef/>
      </w:r>
      <w:r>
        <w:rPr>
          <w:rFonts w:ascii="Avenir" w:eastAsia="Avenir" w:hAnsi="Avenir" w:cs="Avenir"/>
          <w:sz w:val="20"/>
          <w:szCs w:val="20"/>
        </w:rPr>
        <w:t xml:space="preserve"> It was not possible to precisely disaggregate between what was spent on ‘message testing’ and what was spent on ‘advertising’ in the invoices, as not all invoices were sufficiently detailed to differentiate these forms of activity. As such, the research team developed the catch-all code of social media advertising. This is, of course, suboptimal—but it is a feature of the invoices supplied.</w:t>
      </w:r>
    </w:p>
  </w:footnote>
  <w:footnote w:id="24">
    <w:p w14:paraId="5B27CAA4" w14:textId="3DD936DA" w:rsidR="00B556DE" w:rsidRDefault="000D6BB0">
      <w:pPr>
        <w:pStyle w:val="FootnoteText"/>
        <w:rPr>
          <w:lang w:val="en-GB"/>
        </w:rPr>
      </w:pPr>
      <w:r>
        <w:rPr>
          <w:rStyle w:val="FootnoteCharacters"/>
        </w:rPr>
        <w:footnoteRef/>
      </w:r>
      <w:r>
        <w:t xml:space="preserve"> </w:t>
      </w:r>
      <w:r w:rsidR="005F2F11">
        <w:t>&lt;</w:t>
      </w:r>
      <w:hyperlink r:id="rId14">
        <w:r>
          <w:rPr>
            <w:rStyle w:val="Hyperlink"/>
          </w:rPr>
          <w:t>http://search.electoralcommission.org.uk/Api/Spending/Invoices/64976</w:t>
        </w:r>
      </w:hyperlink>
      <w:r w:rsidR="005F2F11">
        <w:rPr>
          <w:rStyle w:val="Hyperlink"/>
          <w:color w:val="auto"/>
          <w:u w:val="none"/>
        </w:rPr>
        <w:t>&gt;</w:t>
      </w:r>
      <w:r>
        <w:t xml:space="preserve"> </w:t>
      </w:r>
    </w:p>
  </w:footnote>
  <w:footnote w:id="25">
    <w:p w14:paraId="2095C9F3" w14:textId="7C3733ED" w:rsidR="00B556DE" w:rsidRDefault="000D6BB0">
      <w:pPr>
        <w:pStyle w:val="FootnoteText"/>
        <w:rPr>
          <w:lang w:val="en-GB"/>
        </w:rPr>
      </w:pPr>
      <w:r>
        <w:rPr>
          <w:rStyle w:val="FootnoteCharacters"/>
        </w:rPr>
        <w:footnoteRef/>
      </w:r>
      <w:r>
        <w:t xml:space="preserve"> </w:t>
      </w:r>
      <w:r w:rsidR="00171C2D">
        <w:t>&lt;</w:t>
      </w:r>
      <w:r>
        <w:t>http://search.electoralcommission.org.uk/Api/Spending/Invoices/65305</w:t>
      </w:r>
      <w:r w:rsidR="00171C2D">
        <w:t>&gt;, accessed 30 March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40763" w14:textId="77777777" w:rsidR="00B556DE" w:rsidRDefault="000D6BB0">
    <w:pPr>
      <w:jc w:val="right"/>
    </w:pPr>
    <w:r>
      <w:fldChar w:fldCharType="begin"/>
    </w:r>
    <w:r>
      <w:instrText>PAGE</w:instrText>
    </w:r>
    <w:r>
      <w:fldChar w:fldCharType="separate"/>
    </w:r>
    <w:r>
      <w:t>55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262E"/>
    <w:multiLevelType w:val="multilevel"/>
    <w:tmpl w:val="4AC2873A"/>
    <w:lvl w:ilvl="0">
      <w:start w:val="1"/>
      <w:numFmt w:val="bullet"/>
      <w:lvlText w:val=""/>
      <w:lvlJc w:val="left"/>
      <w:pPr>
        <w:tabs>
          <w:tab w:val="num" w:pos="0"/>
        </w:tabs>
        <w:ind w:left="720" w:hanging="360"/>
      </w:pPr>
      <w:rPr>
        <w:rFonts w:ascii="Symbol" w:hAnsi="Symbol" w:hint="default"/>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 w15:restartNumberingAfterBreak="0">
    <w:nsid w:val="02757190"/>
    <w:multiLevelType w:val="multilevel"/>
    <w:tmpl w:val="D598A92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 w15:restartNumberingAfterBreak="0">
    <w:nsid w:val="06286769"/>
    <w:multiLevelType w:val="multilevel"/>
    <w:tmpl w:val="D5C45600"/>
    <w:lvl w:ilvl="0">
      <w:start w:val="1"/>
      <w:numFmt w:val="decimal"/>
      <w:pStyle w:val="Heading2"/>
      <w:lvlText w:val="%1."/>
      <w:lvlJc w:val="left"/>
      <w:pPr>
        <w:tabs>
          <w:tab w:val="num" w:pos="0"/>
        </w:tabs>
        <w:ind w:left="360" w:hanging="360"/>
      </w:pPr>
    </w:lvl>
    <w:lvl w:ilvl="1">
      <w:start w:val="1"/>
      <w:numFmt w:val="decimal"/>
      <w:pStyle w:val="Heading3"/>
      <w:lvlText w:val="%1.%2"/>
      <w:lvlJc w:val="left"/>
      <w:pPr>
        <w:tabs>
          <w:tab w:val="num" w:pos="0"/>
        </w:tabs>
        <w:ind w:left="720" w:hanging="72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79A5457"/>
    <w:multiLevelType w:val="multilevel"/>
    <w:tmpl w:val="95706A0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4" w15:restartNumberingAfterBreak="0">
    <w:nsid w:val="08613065"/>
    <w:multiLevelType w:val="multilevel"/>
    <w:tmpl w:val="A8C4E9F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5" w15:restartNumberingAfterBreak="0">
    <w:nsid w:val="092B5ED3"/>
    <w:multiLevelType w:val="multilevel"/>
    <w:tmpl w:val="1CC2C7E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6" w15:restartNumberingAfterBreak="0">
    <w:nsid w:val="0ED00716"/>
    <w:multiLevelType w:val="multilevel"/>
    <w:tmpl w:val="2604D7A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7" w15:restartNumberingAfterBreak="0">
    <w:nsid w:val="12090BDE"/>
    <w:multiLevelType w:val="multilevel"/>
    <w:tmpl w:val="088C5F9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8" w15:restartNumberingAfterBreak="0">
    <w:nsid w:val="12492E7E"/>
    <w:multiLevelType w:val="multilevel"/>
    <w:tmpl w:val="A84E28F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9" w15:restartNumberingAfterBreak="0">
    <w:nsid w:val="14135DB8"/>
    <w:multiLevelType w:val="multilevel"/>
    <w:tmpl w:val="2AF8CD7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0" w15:restartNumberingAfterBreak="0">
    <w:nsid w:val="153D0644"/>
    <w:multiLevelType w:val="multilevel"/>
    <w:tmpl w:val="2AB4A918"/>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1" w15:restartNumberingAfterBreak="0">
    <w:nsid w:val="163072A6"/>
    <w:multiLevelType w:val="multilevel"/>
    <w:tmpl w:val="45DEE2C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2" w15:restartNumberingAfterBreak="0">
    <w:nsid w:val="18A10C33"/>
    <w:multiLevelType w:val="multilevel"/>
    <w:tmpl w:val="4D82F91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3" w15:restartNumberingAfterBreak="0">
    <w:nsid w:val="18B63ACA"/>
    <w:multiLevelType w:val="multilevel"/>
    <w:tmpl w:val="0B7AABA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4" w15:restartNumberingAfterBreak="0">
    <w:nsid w:val="1A4B56BF"/>
    <w:multiLevelType w:val="multilevel"/>
    <w:tmpl w:val="3030E63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5" w15:restartNumberingAfterBreak="0">
    <w:nsid w:val="1BB8245A"/>
    <w:multiLevelType w:val="multilevel"/>
    <w:tmpl w:val="92C898A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6" w15:restartNumberingAfterBreak="0">
    <w:nsid w:val="1DDA7307"/>
    <w:multiLevelType w:val="multilevel"/>
    <w:tmpl w:val="488A2F3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7" w15:restartNumberingAfterBreak="0">
    <w:nsid w:val="286734FC"/>
    <w:multiLevelType w:val="multilevel"/>
    <w:tmpl w:val="D70A43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CA730E5"/>
    <w:multiLevelType w:val="multilevel"/>
    <w:tmpl w:val="F460CB3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9" w15:restartNumberingAfterBreak="0">
    <w:nsid w:val="304D4571"/>
    <w:multiLevelType w:val="multilevel"/>
    <w:tmpl w:val="6016ABA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0" w15:restartNumberingAfterBreak="0">
    <w:nsid w:val="31E72BFA"/>
    <w:multiLevelType w:val="hybridMultilevel"/>
    <w:tmpl w:val="9E1AF0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4E20169"/>
    <w:multiLevelType w:val="multilevel"/>
    <w:tmpl w:val="7548B1E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2" w15:restartNumberingAfterBreak="0">
    <w:nsid w:val="35D85A4E"/>
    <w:multiLevelType w:val="multilevel"/>
    <w:tmpl w:val="4EE883E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3" w15:restartNumberingAfterBreak="0">
    <w:nsid w:val="372C587F"/>
    <w:multiLevelType w:val="multilevel"/>
    <w:tmpl w:val="71D091B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4" w15:restartNumberingAfterBreak="0">
    <w:nsid w:val="39AD6D3A"/>
    <w:multiLevelType w:val="multilevel"/>
    <w:tmpl w:val="4AC2873A"/>
    <w:lvl w:ilvl="0">
      <w:start w:val="1"/>
      <w:numFmt w:val="bullet"/>
      <w:lvlText w:val=""/>
      <w:lvlJc w:val="left"/>
      <w:pPr>
        <w:tabs>
          <w:tab w:val="num" w:pos="0"/>
        </w:tabs>
        <w:ind w:left="720" w:hanging="360"/>
      </w:pPr>
      <w:rPr>
        <w:rFonts w:ascii="Symbol" w:hAnsi="Symbol" w:hint="default"/>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5" w15:restartNumberingAfterBreak="0">
    <w:nsid w:val="39C03CFD"/>
    <w:multiLevelType w:val="multilevel"/>
    <w:tmpl w:val="D2C8B85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6" w15:restartNumberingAfterBreak="0">
    <w:nsid w:val="3A811D72"/>
    <w:multiLevelType w:val="multilevel"/>
    <w:tmpl w:val="B99ADBB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7" w15:restartNumberingAfterBreak="0">
    <w:nsid w:val="3B5C6CDB"/>
    <w:multiLevelType w:val="multilevel"/>
    <w:tmpl w:val="CF1E3F4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8" w15:restartNumberingAfterBreak="0">
    <w:nsid w:val="3D1D3EBF"/>
    <w:multiLevelType w:val="multilevel"/>
    <w:tmpl w:val="BB064C8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9" w15:restartNumberingAfterBreak="0">
    <w:nsid w:val="3DF106D2"/>
    <w:multiLevelType w:val="multilevel"/>
    <w:tmpl w:val="A5AC3D8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30" w15:restartNumberingAfterBreak="0">
    <w:nsid w:val="3F875D53"/>
    <w:multiLevelType w:val="multilevel"/>
    <w:tmpl w:val="EEB8A2A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47024A35"/>
    <w:multiLevelType w:val="multilevel"/>
    <w:tmpl w:val="4AC2873A"/>
    <w:lvl w:ilvl="0">
      <w:start w:val="1"/>
      <w:numFmt w:val="bullet"/>
      <w:lvlText w:val=""/>
      <w:lvlJc w:val="left"/>
      <w:pPr>
        <w:tabs>
          <w:tab w:val="num" w:pos="0"/>
        </w:tabs>
        <w:ind w:left="720" w:hanging="360"/>
      </w:pPr>
      <w:rPr>
        <w:rFonts w:ascii="Symbol" w:hAnsi="Symbol" w:hint="default"/>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2" w15:restartNumberingAfterBreak="0">
    <w:nsid w:val="47DA3C0B"/>
    <w:multiLevelType w:val="multilevel"/>
    <w:tmpl w:val="7F4E5C6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33" w15:restartNumberingAfterBreak="0">
    <w:nsid w:val="485F1905"/>
    <w:multiLevelType w:val="multilevel"/>
    <w:tmpl w:val="EFB21A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486D4E78"/>
    <w:multiLevelType w:val="multilevel"/>
    <w:tmpl w:val="3F7CFEB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35" w15:restartNumberingAfterBreak="0">
    <w:nsid w:val="4AA31952"/>
    <w:multiLevelType w:val="multilevel"/>
    <w:tmpl w:val="31A2671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36" w15:restartNumberingAfterBreak="0">
    <w:nsid w:val="4CF507CD"/>
    <w:multiLevelType w:val="multilevel"/>
    <w:tmpl w:val="C79085E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37" w15:restartNumberingAfterBreak="0">
    <w:nsid w:val="4D32413A"/>
    <w:multiLevelType w:val="multilevel"/>
    <w:tmpl w:val="178801E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38" w15:restartNumberingAfterBreak="0">
    <w:nsid w:val="4DDF36EC"/>
    <w:multiLevelType w:val="multilevel"/>
    <w:tmpl w:val="682CC12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39" w15:restartNumberingAfterBreak="0">
    <w:nsid w:val="4FBE03E1"/>
    <w:multiLevelType w:val="multilevel"/>
    <w:tmpl w:val="09DEE9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40" w15:restartNumberingAfterBreak="0">
    <w:nsid w:val="5B1D257E"/>
    <w:multiLevelType w:val="multilevel"/>
    <w:tmpl w:val="2120295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41" w15:restartNumberingAfterBreak="0">
    <w:nsid w:val="5D794167"/>
    <w:multiLevelType w:val="multilevel"/>
    <w:tmpl w:val="AEA6A88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42" w15:restartNumberingAfterBreak="0">
    <w:nsid w:val="5D7B0E04"/>
    <w:multiLevelType w:val="multilevel"/>
    <w:tmpl w:val="B7A0EEA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43" w15:restartNumberingAfterBreak="0">
    <w:nsid w:val="5E720026"/>
    <w:multiLevelType w:val="multilevel"/>
    <w:tmpl w:val="A672DB2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44" w15:restartNumberingAfterBreak="0">
    <w:nsid w:val="61A708F1"/>
    <w:multiLevelType w:val="multilevel"/>
    <w:tmpl w:val="5EAC5F4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64112D59"/>
    <w:multiLevelType w:val="multilevel"/>
    <w:tmpl w:val="DE1C9B9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46" w15:restartNumberingAfterBreak="0">
    <w:nsid w:val="64F13832"/>
    <w:multiLevelType w:val="multilevel"/>
    <w:tmpl w:val="0E3695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65582B1A"/>
    <w:multiLevelType w:val="multilevel"/>
    <w:tmpl w:val="4AC2873A"/>
    <w:lvl w:ilvl="0">
      <w:start w:val="1"/>
      <w:numFmt w:val="bullet"/>
      <w:lvlText w:val=""/>
      <w:lvlJc w:val="left"/>
      <w:pPr>
        <w:tabs>
          <w:tab w:val="num" w:pos="0"/>
        </w:tabs>
        <w:ind w:left="720" w:hanging="360"/>
      </w:pPr>
      <w:rPr>
        <w:rFonts w:ascii="Symbol" w:hAnsi="Symbol" w:hint="default"/>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8" w15:restartNumberingAfterBreak="0">
    <w:nsid w:val="674F1209"/>
    <w:multiLevelType w:val="multilevel"/>
    <w:tmpl w:val="3998CEC2"/>
    <w:lvl w:ilvl="0">
      <w:start w:val="3"/>
      <w:numFmt w:val="decimal"/>
      <w:lvlText w:val="%1"/>
      <w:lvlJc w:val="left"/>
      <w:pPr>
        <w:tabs>
          <w:tab w:val="num" w:pos="0"/>
        </w:tabs>
        <w:ind w:left="400" w:hanging="40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49" w15:restartNumberingAfterBreak="0">
    <w:nsid w:val="679E6628"/>
    <w:multiLevelType w:val="multilevel"/>
    <w:tmpl w:val="BFF81DB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50" w15:restartNumberingAfterBreak="0">
    <w:nsid w:val="68234C74"/>
    <w:multiLevelType w:val="multilevel"/>
    <w:tmpl w:val="8D92C3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8485AB0"/>
    <w:multiLevelType w:val="multilevel"/>
    <w:tmpl w:val="A69C3B1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52" w15:restartNumberingAfterBreak="0">
    <w:nsid w:val="68D634BB"/>
    <w:multiLevelType w:val="multilevel"/>
    <w:tmpl w:val="66DEECF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53" w15:restartNumberingAfterBreak="0">
    <w:nsid w:val="6FE97FF4"/>
    <w:multiLevelType w:val="multilevel"/>
    <w:tmpl w:val="08142D7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54" w15:restartNumberingAfterBreak="0">
    <w:nsid w:val="6FF42A2C"/>
    <w:multiLevelType w:val="multilevel"/>
    <w:tmpl w:val="089CC1A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55" w15:restartNumberingAfterBreak="0">
    <w:nsid w:val="706810A5"/>
    <w:multiLevelType w:val="multilevel"/>
    <w:tmpl w:val="7BCCB55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56" w15:restartNumberingAfterBreak="0">
    <w:nsid w:val="70DC061C"/>
    <w:multiLevelType w:val="multilevel"/>
    <w:tmpl w:val="376C7AC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57" w15:restartNumberingAfterBreak="0">
    <w:nsid w:val="72EF0451"/>
    <w:multiLevelType w:val="multilevel"/>
    <w:tmpl w:val="95A20088"/>
    <w:lvl w:ilvl="0">
      <w:start w:val="2"/>
      <w:numFmt w:val="decimal"/>
      <w:lvlText w:val="%1"/>
      <w:lvlJc w:val="left"/>
      <w:pPr>
        <w:tabs>
          <w:tab w:val="num" w:pos="0"/>
        </w:tabs>
        <w:ind w:left="400" w:hanging="400"/>
      </w:pPr>
      <w:rPr>
        <w:rFonts w:eastAsia="Arial" w:cs="Arial"/>
      </w:rPr>
    </w:lvl>
    <w:lvl w:ilvl="1">
      <w:start w:val="1"/>
      <w:numFmt w:val="decimal"/>
      <w:lvlText w:val="%1.%2"/>
      <w:lvlJc w:val="left"/>
      <w:pPr>
        <w:tabs>
          <w:tab w:val="num" w:pos="0"/>
        </w:tabs>
        <w:ind w:left="1840" w:hanging="400"/>
      </w:pPr>
      <w:rPr>
        <w:rFonts w:eastAsia="Arial" w:cs="Arial"/>
      </w:rPr>
    </w:lvl>
    <w:lvl w:ilvl="2">
      <w:start w:val="1"/>
      <w:numFmt w:val="decimal"/>
      <w:lvlText w:val="%1.%2.%3"/>
      <w:lvlJc w:val="left"/>
      <w:pPr>
        <w:tabs>
          <w:tab w:val="num" w:pos="0"/>
        </w:tabs>
        <w:ind w:left="3600" w:hanging="720"/>
      </w:pPr>
      <w:rPr>
        <w:rFonts w:eastAsia="Arial" w:cs="Arial"/>
      </w:rPr>
    </w:lvl>
    <w:lvl w:ilvl="3">
      <w:start w:val="1"/>
      <w:numFmt w:val="decimal"/>
      <w:lvlText w:val="%1.%2.%3.%4"/>
      <w:lvlJc w:val="left"/>
      <w:pPr>
        <w:tabs>
          <w:tab w:val="num" w:pos="0"/>
        </w:tabs>
        <w:ind w:left="5400" w:hanging="1080"/>
      </w:pPr>
      <w:rPr>
        <w:rFonts w:eastAsia="Arial" w:cs="Arial"/>
      </w:rPr>
    </w:lvl>
    <w:lvl w:ilvl="4">
      <w:start w:val="1"/>
      <w:numFmt w:val="decimal"/>
      <w:lvlText w:val="%1.%2.%3.%4.%5"/>
      <w:lvlJc w:val="left"/>
      <w:pPr>
        <w:tabs>
          <w:tab w:val="num" w:pos="0"/>
        </w:tabs>
        <w:ind w:left="6840" w:hanging="1080"/>
      </w:pPr>
      <w:rPr>
        <w:rFonts w:eastAsia="Arial" w:cs="Arial"/>
      </w:rPr>
    </w:lvl>
    <w:lvl w:ilvl="5">
      <w:start w:val="1"/>
      <w:numFmt w:val="decimal"/>
      <w:lvlText w:val="%1.%2.%3.%4.%5.%6"/>
      <w:lvlJc w:val="left"/>
      <w:pPr>
        <w:tabs>
          <w:tab w:val="num" w:pos="0"/>
        </w:tabs>
        <w:ind w:left="8640" w:hanging="1440"/>
      </w:pPr>
      <w:rPr>
        <w:rFonts w:eastAsia="Arial" w:cs="Arial"/>
      </w:rPr>
    </w:lvl>
    <w:lvl w:ilvl="6">
      <w:start w:val="1"/>
      <w:numFmt w:val="decimal"/>
      <w:lvlText w:val="%1.%2.%3.%4.%5.%6.%7"/>
      <w:lvlJc w:val="left"/>
      <w:pPr>
        <w:tabs>
          <w:tab w:val="num" w:pos="0"/>
        </w:tabs>
        <w:ind w:left="10080" w:hanging="1440"/>
      </w:pPr>
      <w:rPr>
        <w:rFonts w:eastAsia="Arial" w:cs="Arial"/>
      </w:rPr>
    </w:lvl>
    <w:lvl w:ilvl="7">
      <w:start w:val="1"/>
      <w:numFmt w:val="decimal"/>
      <w:lvlText w:val="%1.%2.%3.%4.%5.%6.%7.%8"/>
      <w:lvlJc w:val="left"/>
      <w:pPr>
        <w:tabs>
          <w:tab w:val="num" w:pos="0"/>
        </w:tabs>
        <w:ind w:left="11880" w:hanging="1800"/>
      </w:pPr>
      <w:rPr>
        <w:rFonts w:eastAsia="Arial" w:cs="Arial"/>
      </w:rPr>
    </w:lvl>
    <w:lvl w:ilvl="8">
      <w:start w:val="1"/>
      <w:numFmt w:val="decimal"/>
      <w:lvlText w:val="%1.%2.%3.%4.%5.%6.%7.%8.%9"/>
      <w:lvlJc w:val="left"/>
      <w:pPr>
        <w:tabs>
          <w:tab w:val="num" w:pos="0"/>
        </w:tabs>
        <w:ind w:left="13680" w:hanging="2160"/>
      </w:pPr>
      <w:rPr>
        <w:rFonts w:eastAsia="Arial" w:cs="Arial"/>
      </w:rPr>
    </w:lvl>
  </w:abstractNum>
  <w:abstractNum w:abstractNumId="58" w15:restartNumberingAfterBreak="0">
    <w:nsid w:val="73A679DF"/>
    <w:multiLevelType w:val="multilevel"/>
    <w:tmpl w:val="83A82A62"/>
    <w:lvl w:ilvl="0">
      <w:start w:val="1"/>
      <w:numFmt w:val="decimal"/>
      <w:lvlText w:val="%1."/>
      <w:lvlJc w:val="left"/>
      <w:pPr>
        <w:tabs>
          <w:tab w:val="num" w:pos="0"/>
        </w:tabs>
        <w:ind w:left="360" w:hanging="360"/>
      </w:pPr>
      <w:rPr>
        <w:u w:val="none"/>
      </w:rPr>
    </w:lvl>
    <w:lvl w:ilvl="1">
      <w:start w:val="1"/>
      <w:numFmt w:val="lowerLetter"/>
      <w:lvlText w:val="%2."/>
      <w:lvlJc w:val="left"/>
      <w:pPr>
        <w:tabs>
          <w:tab w:val="num" w:pos="0"/>
        </w:tabs>
        <w:ind w:left="1080" w:hanging="360"/>
      </w:pPr>
      <w:rPr>
        <w:u w:val="none"/>
      </w:rPr>
    </w:lvl>
    <w:lvl w:ilvl="2">
      <w:start w:val="1"/>
      <w:numFmt w:val="lowerRoman"/>
      <w:lvlText w:val="%3."/>
      <w:lvlJc w:val="right"/>
      <w:pPr>
        <w:tabs>
          <w:tab w:val="num" w:pos="0"/>
        </w:tabs>
        <w:ind w:left="1800" w:hanging="360"/>
      </w:pPr>
      <w:rPr>
        <w:u w:val="none"/>
      </w:rPr>
    </w:lvl>
    <w:lvl w:ilvl="3">
      <w:start w:val="1"/>
      <w:numFmt w:val="decimal"/>
      <w:lvlText w:val="%4."/>
      <w:lvlJc w:val="left"/>
      <w:pPr>
        <w:tabs>
          <w:tab w:val="num" w:pos="0"/>
        </w:tabs>
        <w:ind w:left="2520" w:hanging="360"/>
      </w:pPr>
      <w:rPr>
        <w:u w:val="none"/>
      </w:rPr>
    </w:lvl>
    <w:lvl w:ilvl="4">
      <w:start w:val="1"/>
      <w:numFmt w:val="lowerLetter"/>
      <w:lvlText w:val="%5."/>
      <w:lvlJc w:val="left"/>
      <w:pPr>
        <w:tabs>
          <w:tab w:val="num" w:pos="0"/>
        </w:tabs>
        <w:ind w:left="3240" w:hanging="360"/>
      </w:pPr>
      <w:rPr>
        <w:u w:val="none"/>
      </w:rPr>
    </w:lvl>
    <w:lvl w:ilvl="5">
      <w:start w:val="1"/>
      <w:numFmt w:val="lowerRoman"/>
      <w:lvlText w:val="%6."/>
      <w:lvlJc w:val="right"/>
      <w:pPr>
        <w:tabs>
          <w:tab w:val="num" w:pos="0"/>
        </w:tabs>
        <w:ind w:left="3960" w:hanging="360"/>
      </w:pPr>
      <w:rPr>
        <w:u w:val="none"/>
      </w:rPr>
    </w:lvl>
    <w:lvl w:ilvl="6">
      <w:start w:val="1"/>
      <w:numFmt w:val="decimal"/>
      <w:lvlText w:val="%7."/>
      <w:lvlJc w:val="left"/>
      <w:pPr>
        <w:tabs>
          <w:tab w:val="num" w:pos="0"/>
        </w:tabs>
        <w:ind w:left="4680" w:hanging="360"/>
      </w:pPr>
      <w:rPr>
        <w:u w:val="none"/>
      </w:rPr>
    </w:lvl>
    <w:lvl w:ilvl="7">
      <w:start w:val="1"/>
      <w:numFmt w:val="lowerLetter"/>
      <w:lvlText w:val="%8."/>
      <w:lvlJc w:val="left"/>
      <w:pPr>
        <w:tabs>
          <w:tab w:val="num" w:pos="0"/>
        </w:tabs>
        <w:ind w:left="5400" w:hanging="360"/>
      </w:pPr>
      <w:rPr>
        <w:u w:val="none"/>
      </w:rPr>
    </w:lvl>
    <w:lvl w:ilvl="8">
      <w:start w:val="1"/>
      <w:numFmt w:val="lowerRoman"/>
      <w:lvlText w:val="%9."/>
      <w:lvlJc w:val="right"/>
      <w:pPr>
        <w:tabs>
          <w:tab w:val="num" w:pos="0"/>
        </w:tabs>
        <w:ind w:left="6120" w:hanging="360"/>
      </w:pPr>
      <w:rPr>
        <w:u w:val="none"/>
      </w:rPr>
    </w:lvl>
  </w:abstractNum>
  <w:abstractNum w:abstractNumId="59" w15:restartNumberingAfterBreak="0">
    <w:nsid w:val="740E0D9C"/>
    <w:multiLevelType w:val="multilevel"/>
    <w:tmpl w:val="A494452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60" w15:restartNumberingAfterBreak="0">
    <w:nsid w:val="761857EB"/>
    <w:multiLevelType w:val="multilevel"/>
    <w:tmpl w:val="4D0C2B0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61" w15:restartNumberingAfterBreak="0">
    <w:nsid w:val="7A090973"/>
    <w:multiLevelType w:val="multilevel"/>
    <w:tmpl w:val="5994DED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62" w15:restartNumberingAfterBreak="0">
    <w:nsid w:val="7C4125C3"/>
    <w:multiLevelType w:val="multilevel"/>
    <w:tmpl w:val="EBE8B4F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63" w15:restartNumberingAfterBreak="0">
    <w:nsid w:val="7CAB0F68"/>
    <w:multiLevelType w:val="multilevel"/>
    <w:tmpl w:val="81EE2C9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num w:numId="1">
    <w:abstractNumId w:val="2"/>
  </w:num>
  <w:num w:numId="2">
    <w:abstractNumId w:val="36"/>
  </w:num>
  <w:num w:numId="3">
    <w:abstractNumId w:val="43"/>
  </w:num>
  <w:num w:numId="4">
    <w:abstractNumId w:val="1"/>
  </w:num>
  <w:num w:numId="5">
    <w:abstractNumId w:val="22"/>
  </w:num>
  <w:num w:numId="6">
    <w:abstractNumId w:val="56"/>
  </w:num>
  <w:num w:numId="7">
    <w:abstractNumId w:val="28"/>
  </w:num>
  <w:num w:numId="8">
    <w:abstractNumId w:val="52"/>
  </w:num>
  <w:num w:numId="9">
    <w:abstractNumId w:val="11"/>
  </w:num>
  <w:num w:numId="10">
    <w:abstractNumId w:val="34"/>
  </w:num>
  <w:num w:numId="11">
    <w:abstractNumId w:val="40"/>
  </w:num>
  <w:num w:numId="12">
    <w:abstractNumId w:val="13"/>
  </w:num>
  <w:num w:numId="13">
    <w:abstractNumId w:val="26"/>
  </w:num>
  <w:num w:numId="14">
    <w:abstractNumId w:val="35"/>
  </w:num>
  <w:num w:numId="15">
    <w:abstractNumId w:val="38"/>
  </w:num>
  <w:num w:numId="16">
    <w:abstractNumId w:val="47"/>
  </w:num>
  <w:num w:numId="17">
    <w:abstractNumId w:val="19"/>
  </w:num>
  <w:num w:numId="18">
    <w:abstractNumId w:val="4"/>
  </w:num>
  <w:num w:numId="19">
    <w:abstractNumId w:val="3"/>
  </w:num>
  <w:num w:numId="20">
    <w:abstractNumId w:val="29"/>
  </w:num>
  <w:num w:numId="21">
    <w:abstractNumId w:val="21"/>
  </w:num>
  <w:num w:numId="22">
    <w:abstractNumId w:val="61"/>
  </w:num>
  <w:num w:numId="23">
    <w:abstractNumId w:val="63"/>
  </w:num>
  <w:num w:numId="24">
    <w:abstractNumId w:val="12"/>
  </w:num>
  <w:num w:numId="25">
    <w:abstractNumId w:val="62"/>
  </w:num>
  <w:num w:numId="26">
    <w:abstractNumId w:val="45"/>
  </w:num>
  <w:num w:numId="27">
    <w:abstractNumId w:val="0"/>
  </w:num>
  <w:num w:numId="28">
    <w:abstractNumId w:val="55"/>
  </w:num>
  <w:num w:numId="29">
    <w:abstractNumId w:val="16"/>
  </w:num>
  <w:num w:numId="30">
    <w:abstractNumId w:val="14"/>
  </w:num>
  <w:num w:numId="31">
    <w:abstractNumId w:val="51"/>
  </w:num>
  <w:num w:numId="32">
    <w:abstractNumId w:val="8"/>
  </w:num>
  <w:num w:numId="33">
    <w:abstractNumId w:val="54"/>
  </w:num>
  <w:num w:numId="34">
    <w:abstractNumId w:val="59"/>
  </w:num>
  <w:num w:numId="35">
    <w:abstractNumId w:val="6"/>
  </w:num>
  <w:num w:numId="36">
    <w:abstractNumId w:val="23"/>
  </w:num>
  <w:num w:numId="37">
    <w:abstractNumId w:val="49"/>
  </w:num>
  <w:num w:numId="38">
    <w:abstractNumId w:val="32"/>
  </w:num>
  <w:num w:numId="39">
    <w:abstractNumId w:val="53"/>
  </w:num>
  <w:num w:numId="40">
    <w:abstractNumId w:val="10"/>
  </w:num>
  <w:num w:numId="41">
    <w:abstractNumId w:val="25"/>
  </w:num>
  <w:num w:numId="42">
    <w:abstractNumId w:val="60"/>
  </w:num>
  <w:num w:numId="43">
    <w:abstractNumId w:val="27"/>
  </w:num>
  <w:num w:numId="44">
    <w:abstractNumId w:val="9"/>
  </w:num>
  <w:num w:numId="45">
    <w:abstractNumId w:val="7"/>
  </w:num>
  <w:num w:numId="46">
    <w:abstractNumId w:val="15"/>
  </w:num>
  <w:num w:numId="47">
    <w:abstractNumId w:val="42"/>
  </w:num>
  <w:num w:numId="48">
    <w:abstractNumId w:val="39"/>
  </w:num>
  <w:num w:numId="49">
    <w:abstractNumId w:val="41"/>
  </w:num>
  <w:num w:numId="50">
    <w:abstractNumId w:val="5"/>
  </w:num>
  <w:num w:numId="51">
    <w:abstractNumId w:val="37"/>
  </w:num>
  <w:num w:numId="52">
    <w:abstractNumId w:val="58"/>
  </w:num>
  <w:num w:numId="53">
    <w:abstractNumId w:val="18"/>
  </w:num>
  <w:num w:numId="54">
    <w:abstractNumId w:val="33"/>
  </w:num>
  <w:num w:numId="55">
    <w:abstractNumId w:val="17"/>
  </w:num>
  <w:num w:numId="56">
    <w:abstractNumId w:val="46"/>
  </w:num>
  <w:num w:numId="57">
    <w:abstractNumId w:val="50"/>
  </w:num>
  <w:num w:numId="58">
    <w:abstractNumId w:val="57"/>
  </w:num>
  <w:num w:numId="59">
    <w:abstractNumId w:val="48"/>
  </w:num>
  <w:num w:numId="60">
    <w:abstractNumId w:val="30"/>
  </w:num>
  <w:num w:numId="61">
    <w:abstractNumId w:val="44"/>
  </w:num>
  <w:num w:numId="62">
    <w:abstractNumId w:val="20"/>
  </w:num>
  <w:num w:numId="63">
    <w:abstractNumId w:val="24"/>
  </w:num>
  <w:num w:numId="64">
    <w:abstractNumId w:val="31"/>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sa Hagman">
    <w15:presenceInfo w15:providerId="AD" w15:userId="S::L.Hagman@idea.int::e7fb8d23-7381-41ef-bbc6-c4574198f8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6DE"/>
    <w:rsid w:val="00000C2F"/>
    <w:rsid w:val="00004E88"/>
    <w:rsid w:val="00032B6B"/>
    <w:rsid w:val="00053ECE"/>
    <w:rsid w:val="0008527B"/>
    <w:rsid w:val="00095B2F"/>
    <w:rsid w:val="000A1C13"/>
    <w:rsid w:val="000A27F9"/>
    <w:rsid w:val="000B5487"/>
    <w:rsid w:val="000C5334"/>
    <w:rsid w:val="000D6BB0"/>
    <w:rsid w:val="000E36EE"/>
    <w:rsid w:val="000E4437"/>
    <w:rsid w:val="000F0314"/>
    <w:rsid w:val="000F36C0"/>
    <w:rsid w:val="000F4DB4"/>
    <w:rsid w:val="00101D03"/>
    <w:rsid w:val="00134F86"/>
    <w:rsid w:val="0016651A"/>
    <w:rsid w:val="00171C2D"/>
    <w:rsid w:val="001722EA"/>
    <w:rsid w:val="00176BBF"/>
    <w:rsid w:val="0018145A"/>
    <w:rsid w:val="001926BD"/>
    <w:rsid w:val="0019638E"/>
    <w:rsid w:val="001D59CF"/>
    <w:rsid w:val="001E53AD"/>
    <w:rsid w:val="002278D3"/>
    <w:rsid w:val="0024279A"/>
    <w:rsid w:val="0024415C"/>
    <w:rsid w:val="00287E3F"/>
    <w:rsid w:val="00291A8F"/>
    <w:rsid w:val="00292FA2"/>
    <w:rsid w:val="002B42EC"/>
    <w:rsid w:val="002D0C33"/>
    <w:rsid w:val="00306B29"/>
    <w:rsid w:val="00311001"/>
    <w:rsid w:val="003253B8"/>
    <w:rsid w:val="0034269B"/>
    <w:rsid w:val="00344F1D"/>
    <w:rsid w:val="0034687A"/>
    <w:rsid w:val="003545CF"/>
    <w:rsid w:val="00360EA8"/>
    <w:rsid w:val="0036400F"/>
    <w:rsid w:val="003675D6"/>
    <w:rsid w:val="003808C7"/>
    <w:rsid w:val="0038636C"/>
    <w:rsid w:val="00387A12"/>
    <w:rsid w:val="003A0978"/>
    <w:rsid w:val="003B6E50"/>
    <w:rsid w:val="003C3793"/>
    <w:rsid w:val="003F4636"/>
    <w:rsid w:val="00433AF2"/>
    <w:rsid w:val="00453E3D"/>
    <w:rsid w:val="004664E8"/>
    <w:rsid w:val="0047527A"/>
    <w:rsid w:val="00490CC2"/>
    <w:rsid w:val="004A2A19"/>
    <w:rsid w:val="004B7157"/>
    <w:rsid w:val="004C32D2"/>
    <w:rsid w:val="004D2B10"/>
    <w:rsid w:val="004D4A4E"/>
    <w:rsid w:val="004E1B13"/>
    <w:rsid w:val="004E2707"/>
    <w:rsid w:val="004F56B5"/>
    <w:rsid w:val="004F73CE"/>
    <w:rsid w:val="00500A53"/>
    <w:rsid w:val="00502A51"/>
    <w:rsid w:val="0053643C"/>
    <w:rsid w:val="00537B1A"/>
    <w:rsid w:val="0054729B"/>
    <w:rsid w:val="00556C1B"/>
    <w:rsid w:val="005875EC"/>
    <w:rsid w:val="00596C5E"/>
    <w:rsid w:val="005A6FC7"/>
    <w:rsid w:val="005B2EB9"/>
    <w:rsid w:val="005E49C4"/>
    <w:rsid w:val="005F2F11"/>
    <w:rsid w:val="00606999"/>
    <w:rsid w:val="0060761B"/>
    <w:rsid w:val="006213CA"/>
    <w:rsid w:val="00632E53"/>
    <w:rsid w:val="00635B61"/>
    <w:rsid w:val="006410B8"/>
    <w:rsid w:val="006443D1"/>
    <w:rsid w:val="00672CFB"/>
    <w:rsid w:val="0069459D"/>
    <w:rsid w:val="006B710F"/>
    <w:rsid w:val="006B72DB"/>
    <w:rsid w:val="006E5855"/>
    <w:rsid w:val="00711D91"/>
    <w:rsid w:val="00750E21"/>
    <w:rsid w:val="0075740B"/>
    <w:rsid w:val="00765F80"/>
    <w:rsid w:val="0077082B"/>
    <w:rsid w:val="007711B1"/>
    <w:rsid w:val="00771EAF"/>
    <w:rsid w:val="0079620D"/>
    <w:rsid w:val="007C5127"/>
    <w:rsid w:val="007D5AD3"/>
    <w:rsid w:val="007E20B9"/>
    <w:rsid w:val="007E2213"/>
    <w:rsid w:val="00802878"/>
    <w:rsid w:val="0081763E"/>
    <w:rsid w:val="00817914"/>
    <w:rsid w:val="0083419D"/>
    <w:rsid w:val="00840BF5"/>
    <w:rsid w:val="00847142"/>
    <w:rsid w:val="008706B6"/>
    <w:rsid w:val="00885A79"/>
    <w:rsid w:val="00886DD2"/>
    <w:rsid w:val="008A1210"/>
    <w:rsid w:val="008A2D96"/>
    <w:rsid w:val="008A682D"/>
    <w:rsid w:val="008B639D"/>
    <w:rsid w:val="008C0897"/>
    <w:rsid w:val="008D146B"/>
    <w:rsid w:val="008E5507"/>
    <w:rsid w:val="008F4676"/>
    <w:rsid w:val="008F6B88"/>
    <w:rsid w:val="009014F3"/>
    <w:rsid w:val="00902D14"/>
    <w:rsid w:val="00922E5F"/>
    <w:rsid w:val="00930DC7"/>
    <w:rsid w:val="00942BB5"/>
    <w:rsid w:val="0095085D"/>
    <w:rsid w:val="00950B68"/>
    <w:rsid w:val="00952027"/>
    <w:rsid w:val="00953F5D"/>
    <w:rsid w:val="009637B9"/>
    <w:rsid w:val="009834F6"/>
    <w:rsid w:val="009B4976"/>
    <w:rsid w:val="009D2568"/>
    <w:rsid w:val="009E26A1"/>
    <w:rsid w:val="00A11238"/>
    <w:rsid w:val="00A24932"/>
    <w:rsid w:val="00A63919"/>
    <w:rsid w:val="00A63E85"/>
    <w:rsid w:val="00A71104"/>
    <w:rsid w:val="00A74D3F"/>
    <w:rsid w:val="00A86CC5"/>
    <w:rsid w:val="00A97244"/>
    <w:rsid w:val="00AA29EE"/>
    <w:rsid w:val="00AB3C95"/>
    <w:rsid w:val="00AB5DE4"/>
    <w:rsid w:val="00AC460E"/>
    <w:rsid w:val="00AE4793"/>
    <w:rsid w:val="00AF5F81"/>
    <w:rsid w:val="00B164B9"/>
    <w:rsid w:val="00B556DE"/>
    <w:rsid w:val="00B57D0D"/>
    <w:rsid w:val="00B62BCA"/>
    <w:rsid w:val="00B85A8F"/>
    <w:rsid w:val="00BB27FE"/>
    <w:rsid w:val="00BB4BE6"/>
    <w:rsid w:val="00BB7499"/>
    <w:rsid w:val="00BD56F4"/>
    <w:rsid w:val="00BE1A3F"/>
    <w:rsid w:val="00BE7527"/>
    <w:rsid w:val="00C03D5B"/>
    <w:rsid w:val="00C10CA9"/>
    <w:rsid w:val="00C1411C"/>
    <w:rsid w:val="00C37CAC"/>
    <w:rsid w:val="00C41CBC"/>
    <w:rsid w:val="00C56DC0"/>
    <w:rsid w:val="00C65C8C"/>
    <w:rsid w:val="00CA22B7"/>
    <w:rsid w:val="00CB3058"/>
    <w:rsid w:val="00CB31BE"/>
    <w:rsid w:val="00CB3A19"/>
    <w:rsid w:val="00CB78C3"/>
    <w:rsid w:val="00CC0B52"/>
    <w:rsid w:val="00CD2046"/>
    <w:rsid w:val="00D04FA7"/>
    <w:rsid w:val="00D25F57"/>
    <w:rsid w:val="00D309D5"/>
    <w:rsid w:val="00D33887"/>
    <w:rsid w:val="00D42BCB"/>
    <w:rsid w:val="00D43854"/>
    <w:rsid w:val="00D524E7"/>
    <w:rsid w:val="00D75499"/>
    <w:rsid w:val="00D84681"/>
    <w:rsid w:val="00D943D6"/>
    <w:rsid w:val="00DA41C4"/>
    <w:rsid w:val="00DB7516"/>
    <w:rsid w:val="00DF6203"/>
    <w:rsid w:val="00E127B9"/>
    <w:rsid w:val="00E159D8"/>
    <w:rsid w:val="00E379B0"/>
    <w:rsid w:val="00E403DC"/>
    <w:rsid w:val="00E57293"/>
    <w:rsid w:val="00E62A92"/>
    <w:rsid w:val="00E77C2C"/>
    <w:rsid w:val="00E80D1A"/>
    <w:rsid w:val="00E86D44"/>
    <w:rsid w:val="00E94822"/>
    <w:rsid w:val="00EA6AB6"/>
    <w:rsid w:val="00EA7F13"/>
    <w:rsid w:val="00EB151A"/>
    <w:rsid w:val="00EC0087"/>
    <w:rsid w:val="00EC60C7"/>
    <w:rsid w:val="00EE412F"/>
    <w:rsid w:val="00F058B9"/>
    <w:rsid w:val="00F1217D"/>
    <w:rsid w:val="00F20C31"/>
    <w:rsid w:val="00F21D52"/>
    <w:rsid w:val="00F275E5"/>
    <w:rsid w:val="00F33D63"/>
    <w:rsid w:val="00F479C9"/>
    <w:rsid w:val="00F47A14"/>
    <w:rsid w:val="00F5161A"/>
    <w:rsid w:val="00F67B4F"/>
    <w:rsid w:val="00F77C50"/>
    <w:rsid w:val="00F80B59"/>
    <w:rsid w:val="00F933F9"/>
    <w:rsid w:val="00FA09F1"/>
    <w:rsid w:val="00FB6D39"/>
    <w:rsid w:val="00FD26FF"/>
    <w:rsid w:val="00FE77AC"/>
    <w:rsid w:val="6A2392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EECE"/>
  <w15:docId w15:val="{234C2B00-0539-604C-AB77-5705DA0F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C61"/>
    <w:pPr>
      <w:spacing w:line="276" w:lineRule="auto"/>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rsid w:val="00CF2306"/>
    <w:pPr>
      <w:keepNext/>
      <w:keepLines/>
      <w:numPr>
        <w:numId w:val="1"/>
      </w:numPr>
      <w:spacing w:before="360" w:after="120"/>
      <w:outlineLvl w:val="1"/>
    </w:pPr>
    <w:rPr>
      <w:sz w:val="32"/>
      <w:szCs w:val="32"/>
    </w:rPr>
  </w:style>
  <w:style w:type="paragraph" w:styleId="Heading3">
    <w:name w:val="heading 3"/>
    <w:basedOn w:val="Normal"/>
    <w:next w:val="Normal"/>
    <w:uiPriority w:val="9"/>
    <w:unhideWhenUsed/>
    <w:qFormat/>
    <w:rsid w:val="00CF2306"/>
    <w:pPr>
      <w:keepNext/>
      <w:keepLines/>
      <w:numPr>
        <w:ilvl w:val="1"/>
        <w:numId w:val="1"/>
      </w:numPr>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2C6470"/>
  </w:style>
  <w:style w:type="character" w:customStyle="1" w:styleId="FooterChar">
    <w:name w:val="Footer Char"/>
    <w:basedOn w:val="DefaultParagraphFont"/>
    <w:link w:val="Footer"/>
    <w:uiPriority w:val="99"/>
    <w:semiHidden/>
    <w:qFormat/>
    <w:rsid w:val="002C6470"/>
  </w:style>
  <w:style w:type="character" w:styleId="CommentReference">
    <w:name w:val="annotation reference"/>
    <w:basedOn w:val="DefaultParagraphFont"/>
    <w:uiPriority w:val="99"/>
    <w:semiHidden/>
    <w:unhideWhenUsed/>
    <w:qFormat/>
    <w:rsid w:val="002C6470"/>
    <w:rPr>
      <w:sz w:val="16"/>
      <w:szCs w:val="16"/>
    </w:rPr>
  </w:style>
  <w:style w:type="character" w:customStyle="1" w:styleId="CommentTextChar">
    <w:name w:val="Comment Text Char"/>
    <w:basedOn w:val="DefaultParagraphFont"/>
    <w:link w:val="CommentText"/>
    <w:uiPriority w:val="99"/>
    <w:qFormat/>
    <w:rsid w:val="002C6470"/>
    <w:rPr>
      <w:sz w:val="20"/>
      <w:szCs w:val="20"/>
    </w:rPr>
  </w:style>
  <w:style w:type="character" w:customStyle="1" w:styleId="CommentSubjectChar">
    <w:name w:val="Comment Subject Char"/>
    <w:basedOn w:val="CommentTextChar"/>
    <w:link w:val="CommentSubject"/>
    <w:uiPriority w:val="99"/>
    <w:semiHidden/>
    <w:qFormat/>
    <w:rsid w:val="002C6470"/>
    <w:rPr>
      <w:b/>
      <w:bCs/>
      <w:sz w:val="20"/>
      <w:szCs w:val="20"/>
    </w:rPr>
  </w:style>
  <w:style w:type="character" w:customStyle="1" w:styleId="FootnoteCharacters">
    <w:name w:val="Footnote Characters"/>
    <w:basedOn w:val="DefaultParagraphFont"/>
    <w:uiPriority w:val="99"/>
    <w:semiHidden/>
    <w:unhideWhenUsed/>
    <w:qFormat/>
    <w:rPr>
      <w:vertAlign w:val="superscript"/>
    </w:rPr>
  </w:style>
  <w:style w:type="character" w:customStyle="1" w:styleId="FootnoteAnchor">
    <w:name w:val="Footnote Anchor"/>
    <w:rPr>
      <w:vertAlign w:val="superscript"/>
    </w:rPr>
  </w:style>
  <w:style w:type="character" w:customStyle="1" w:styleId="FootnoteTextChar">
    <w:name w:val="Footnote Text Char"/>
    <w:basedOn w:val="DefaultParagraphFont"/>
    <w:link w:val="FootnoteText"/>
    <w:uiPriority w:val="99"/>
    <w:semiHidden/>
    <w:qFormat/>
    <w:rPr>
      <w:sz w:val="20"/>
      <w:szCs w:val="20"/>
    </w:rPr>
  </w:style>
  <w:style w:type="character" w:styleId="Hyperlink">
    <w:name w:val="Hyperlink"/>
    <w:basedOn w:val="DefaultParagraphFont"/>
    <w:uiPriority w:val="99"/>
    <w:unhideWhenUsed/>
    <w:rsid w:val="000A75DE"/>
    <w:rPr>
      <w:color w:val="0000FF" w:themeColor="hyperlink"/>
      <w:u w:val="single"/>
    </w:rPr>
  </w:style>
  <w:style w:type="character" w:styleId="UnresolvedMention">
    <w:name w:val="Unresolved Mention"/>
    <w:basedOn w:val="DefaultParagraphFont"/>
    <w:uiPriority w:val="99"/>
    <w:semiHidden/>
    <w:unhideWhenUsed/>
    <w:qFormat/>
    <w:rsid w:val="000A75DE"/>
    <w:rPr>
      <w:color w:val="605E5C"/>
      <w:shd w:val="clear" w:color="auto" w:fill="E1DFDD"/>
    </w:rPr>
  </w:style>
  <w:style w:type="character" w:styleId="FollowedHyperlink">
    <w:name w:val="FollowedHyperlink"/>
    <w:basedOn w:val="DefaultParagraphFont"/>
    <w:uiPriority w:val="99"/>
    <w:semiHidden/>
    <w:unhideWhenUsed/>
    <w:rsid w:val="003E441E"/>
    <w:rPr>
      <w:color w:val="800080" w:themeColor="followedHyperlink"/>
      <w:u w:val="single"/>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uiPriority w:val="99"/>
    <w:semiHidden/>
    <w:qFormat/>
    <w:rsid w:val="00FE0B4A"/>
  </w:style>
  <w:style w:type="paragraph" w:styleId="ListParagraph">
    <w:name w:val="List Paragraph"/>
    <w:basedOn w:val="Normal"/>
    <w:uiPriority w:val="34"/>
    <w:qFormat/>
    <w:rsid w:val="005A0232"/>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semiHidden/>
    <w:unhideWhenUsed/>
    <w:rsid w:val="002C6470"/>
    <w:pPr>
      <w:tabs>
        <w:tab w:val="center" w:pos="4513"/>
        <w:tab w:val="right" w:pos="9026"/>
      </w:tabs>
      <w:spacing w:line="240" w:lineRule="auto"/>
    </w:pPr>
  </w:style>
  <w:style w:type="paragraph" w:styleId="Footer">
    <w:name w:val="footer"/>
    <w:basedOn w:val="Normal"/>
    <w:link w:val="FooterChar"/>
    <w:uiPriority w:val="99"/>
    <w:semiHidden/>
    <w:unhideWhenUsed/>
    <w:rsid w:val="002C6470"/>
    <w:pPr>
      <w:tabs>
        <w:tab w:val="center" w:pos="4513"/>
        <w:tab w:val="right" w:pos="9026"/>
      </w:tabs>
      <w:spacing w:line="240" w:lineRule="auto"/>
    </w:pPr>
  </w:style>
  <w:style w:type="paragraph" w:styleId="CommentText">
    <w:name w:val="annotation text"/>
    <w:basedOn w:val="Normal"/>
    <w:link w:val="CommentTextChar"/>
    <w:uiPriority w:val="99"/>
    <w:unhideWhenUsed/>
    <w:qFormat/>
    <w:rsid w:val="002C6470"/>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2C6470"/>
    <w:rPr>
      <w:b/>
      <w:bCs/>
    </w:rPr>
  </w:style>
  <w:style w:type="paragraph" w:styleId="FootnoteText">
    <w:name w:val="footnote text"/>
    <w:basedOn w:val="Normal"/>
    <w:link w:val="FootnoteTextChar"/>
    <w:uiPriority w:val="99"/>
    <w:semiHidden/>
    <w:unhideWhenUsed/>
    <w:pPr>
      <w:spacing w:line="240" w:lineRule="auto"/>
    </w:pPr>
    <w:rPr>
      <w:sz w:val="20"/>
      <w:szCs w:val="20"/>
    </w:rPr>
  </w:style>
  <w:style w:type="paragraph" w:styleId="NormalWeb">
    <w:name w:val="Normal (Web)"/>
    <w:basedOn w:val="Normal"/>
    <w:uiPriority w:val="99"/>
    <w:unhideWhenUsed/>
    <w:qFormat/>
    <w:rsid w:val="001D26BE"/>
    <w:pPr>
      <w:spacing w:beforeAutospacing="1"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png"/><Relationship Id="rId26" Type="http://schemas.openxmlformats.org/officeDocument/2006/relationships/hyperlink" Target="https://doi.org/10.4324/9780203731765" TargetMode="External"/><Relationship Id="rId39" Type="http://schemas.openxmlformats.org/officeDocument/2006/relationships/hyperlink" Target="https://www.electoralcommission.org.uk/who-we-are-and-what-we-do/our-enforcement-work/investigations/how-investigations-work" TargetMode="External"/><Relationship Id="rId21" Type="http://schemas.openxmlformats.org/officeDocument/2006/relationships/image" Target="media/image5.png"/><Relationship Id="rId34" Type="http://schemas.openxmlformats.org/officeDocument/2006/relationships/hyperlink" Target="https://www.electoralcommission.org.uk/who-we-are-and-what-we-do/our-enforcement-work/investigations/investigation-liberal-democrats-2015-uk-parliamentary-general-election-campaign-spending-return" TargetMode="External"/><Relationship Id="rId42" Type="http://schemas.openxmlformats.org/officeDocument/2006/relationships/hyperlink" Target="https://doi.org/10.2139/ssrn.2422602" TargetMode="External"/><Relationship Id="rId47" Type="http://schemas.openxmlformats.org/officeDocument/2006/relationships/hyperlink" Target="https://ourdataourselves.tacticaltech.org/posts/whos-working-for-vote" TargetMode="External"/><Relationship Id="rId50" Type="http://schemas.openxmlformats.org/officeDocument/2006/relationships/hyperlink" Target="https://doi.org/10.1007/978-3-030-37580-5" TargetMode="External"/><Relationship Id="rId55" Type="http://schemas.openxmlformats.org/officeDocument/2006/relationships/hyperlink" Target="https://doi.org/10.1093/oso/9780199217236.001.0001"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journals.sagepub.com/doi/full/10.1177/1354068820907667" TargetMode="External"/><Relationship Id="rId29" Type="http://schemas.openxmlformats.org/officeDocument/2006/relationships/hyperlink" Target="https://doi.org/10.14763/2019.4.1432" TargetMode="Externa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hyperlink" Target="https://www.electoralcommission.org.uk/sites/default/files/pdf_file/UKPGE-Spending-Report-2015.pdf" TargetMode="External"/><Relationship Id="rId37" Type="http://schemas.openxmlformats.org/officeDocument/2006/relationships/hyperlink" Target="https://www.electoralcommission.org.uk/sites/default/files/pdf_file/Digital-campaigning-improving-transparency-for-voters.pdf" TargetMode="External"/><Relationship Id="rId40" Type="http://schemas.openxmlformats.org/officeDocument/2006/relationships/hyperlink" Target="http://search.electoralcommission.org.uk/Search/Spending?currentPage=1&amp;rows=20&amp;sort=TotalExpenditure&amp;order=desc&amp;tab=1&amp;et=pp&amp;includeOutsideSection75=true&amp;evt=ukparliament&amp;ev=3696&amp;optCols=ExpenseCategoryName&amp;optCols=AmountInEngland&amp;optCols=AmountInScotland&amp;optCols=AmountInWales&amp;optCols=AmountInNorthernIreland&amp;optCols=DatePaid" TargetMode="External"/><Relationship Id="rId45" Type="http://schemas.openxmlformats.org/officeDocument/2006/relationships/hyperlink" Target="https://www.idea.int/data-tools/question-view/567" TargetMode="External"/><Relationship Id="rId53" Type="http://schemas.openxmlformats.org/officeDocument/2006/relationships/hyperlink" Target="https://researchbriefings.files.parliament.uk/documents/CBP-8749/CBP-8749.pdf" TargetMode="External"/><Relationship Id="rId58"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image" Target="media/image3.png"/><Relationship Id="rId14" Type="http://schemas.microsoft.com/office/2016/09/relationships/commentsIds" Target="commentsIds.xml"/><Relationship Id="rId22" Type="http://schemas.openxmlformats.org/officeDocument/2006/relationships/hyperlink" Target="https://www.electoralcommission.org.uk/who-we-are-and-what-we-do/our-enforcement-work/investigations" TargetMode="External"/><Relationship Id="rId27" Type="http://schemas.openxmlformats.org/officeDocument/2006/relationships/hyperlink" Target="https://www.spectator.co.uk/article/were-there-any-links-between-cambridge-analytica-russia-and-brexit-" TargetMode="External"/><Relationship Id="rId30" Type="http://schemas.openxmlformats.org/officeDocument/2006/relationships/hyperlink" Target="https://doi.org/10.1177/1354068820907667" TargetMode="External"/><Relationship Id="rId35" Type="http://schemas.openxmlformats.org/officeDocument/2006/relationships/hyperlink" Target="https://www.electoralcommission.org.uk/who-we-are-and-what-we-do/our-enforcement-work/investigations/investigation-conservative-and-unionist-party-campaign-spending-returns-2014-european-parliamentary" TargetMode="External"/><Relationship Id="rId43" Type="http://schemas.openxmlformats.org/officeDocument/2006/relationships/hyperlink" Target="https://www.sophie-e-hill.com/post/my-little-crony/" TargetMode="External"/><Relationship Id="rId48" Type="http://schemas.openxmlformats.org/officeDocument/2006/relationships/hyperlink" Target="https://ourdataourselves.tacticaltech.org/posts/the-influence-industry-long-list/" TargetMode="External"/><Relationship Id="rId56" Type="http://schemas.openxmlformats.org/officeDocument/2006/relationships/hyperlink" Target="https://commonslibrary.parliament.uk/regulation-of-candidates-campaign-expenditure-the-long-and-the-short-of-it" TargetMode="External"/><Relationship Id="rId8" Type="http://schemas.openxmlformats.org/officeDocument/2006/relationships/settings" Target="settings.xml"/><Relationship Id="rId51" Type="http://schemas.openxmlformats.org/officeDocument/2006/relationships/hyperlink" Target="https://doi.org/10.1111/1467-923X.12886"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image" Target="media/image1.png"/><Relationship Id="rId25" Type="http://schemas.openxmlformats.org/officeDocument/2006/relationships/image" Target="media/image8.png"/><Relationship Id="rId33" Type="http://schemas.openxmlformats.org/officeDocument/2006/relationships/hyperlink" Target="https://www.electoralcommission.org.uk/sites/default/files/pdf_file/April-2016-Enforcement-Policy.pdf" TargetMode="External"/><Relationship Id="rId38" Type="http://schemas.openxmlformats.org/officeDocument/2006/relationships/hyperlink" Target="https://www.electoralcommission.org.uk/sites/default/files/2019-10/Political%20parties%202019%20UKPGE.pdf" TargetMode="External"/><Relationship Id="rId46" Type="http://schemas.openxmlformats.org/officeDocument/2006/relationships/hyperlink" Target="file:///C:/C:/Users/khuagr/AppData/Local/Microsoft/Windows/INetCache/Content.Outlook/UC4E7RLN" TargetMode="External"/><Relationship Id="rId59" Type="http://schemas.openxmlformats.org/officeDocument/2006/relationships/fontTable" Target="fontTable.xml"/><Relationship Id="rId20" Type="http://schemas.openxmlformats.org/officeDocument/2006/relationships/image" Target="media/image4.png"/><Relationship Id="rId41" Type="http://schemas.openxmlformats.org/officeDocument/2006/relationships/hyperlink" Target="https://api.open.fec.gov/developers" TargetMode="External"/><Relationship Id="rId54" Type="http://schemas.openxmlformats.org/officeDocument/2006/relationships/hyperlink" Target="https://researchbriefings.files.parliament.uk/documents/CBP-8749/CBP-8749.pdf"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image" Target="media/image6.png"/><Relationship Id="rId28" Type="http://schemas.openxmlformats.org/officeDocument/2006/relationships/hyperlink" Target="https://assets.publishing.service.gov.uk/government/uploads/system/uploads/attachment_data/file/999636/CSPL_Regulating_Election_Finance_Review_Final_Web.pdf" TargetMode="External"/><Relationship Id="rId36" Type="http://schemas.openxmlformats.org/officeDocument/2006/relationships/hyperlink" Target="https://www.electoralcommission.org.uk/sites/default/files/pdf_file/Digital-campaigning-improving-transparency-for-voters.pdf" TargetMode="External"/><Relationship Id="rId49" Type="http://schemas.openxmlformats.org/officeDocument/2006/relationships/hyperlink" Target="https://ourdataourselves.tacticaltech.org/posts/the-influence-industry-long-list" TargetMode="External"/><Relationship Id="rId57" Type="http://schemas.openxmlformats.org/officeDocument/2006/relationships/hyperlink" Target="http://search.electoralcommission.org.uk/" TargetMode="External"/><Relationship Id="rId10" Type="http://schemas.openxmlformats.org/officeDocument/2006/relationships/footnotes" Target="footnotes.xml"/><Relationship Id="rId31" Type="http://schemas.openxmlformats.org/officeDocument/2006/relationships/hyperlink" Target="https://www.electoralcommission.org.uk/who-we-are-and-what-we-do/elections-and-referendums/past-elections-and-referendums/uk-general-elections/report-political-finance-regulation-may-2015-uk-general-election" TargetMode="External"/><Relationship Id="rId44" Type="http://schemas.openxmlformats.org/officeDocument/2006/relationships/hyperlink" Target="https://www.idea.int/political-finance-design-tool" TargetMode="External"/><Relationship Id="rId52" Type="http://schemas.openxmlformats.org/officeDocument/2006/relationships/hyperlink" Target="https://doi.org/10.1017/9781316822906.007"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earch.electoralcommission.org.uk/Api/Spending/Invoices/68444" TargetMode="External"/><Relationship Id="rId13" Type="http://schemas.openxmlformats.org/officeDocument/2006/relationships/hyperlink" Target="http://search.electoralcommission.org.uk/Api/Spending/Invoices/68131" TargetMode="External"/><Relationship Id="rId3" Type="http://schemas.openxmlformats.org/officeDocument/2006/relationships/hyperlink" Target="http://search.electoralcommission.org.uk/Search/Spending?currentPage=1&amp;rows=20&amp;query=Plaid%20Cymru%20-%20The%20Party%20of%20Wales&amp;sort=TotalExpenditure&amp;order=desc&amp;tab=1&amp;et=pp&amp;includeOutsideSection75=true&amp;evt=ukparliament&amp;ev=3696&amp;optCols=ExpenseCategoryName&amp;optCols=AmountInEngland&amp;optCols=AmountInScotland&amp;optCols=AmountInWales&amp;optCols=AmountInNorthernIreland&amp;optCols=DatePaid" TargetMode="External"/><Relationship Id="rId7" Type="http://schemas.openxmlformats.org/officeDocument/2006/relationships/hyperlink" Target="http://search.electoralcommission.org.uk/Api/Spending/Invoices/67188" TargetMode="External"/><Relationship Id="rId12" Type="http://schemas.openxmlformats.org/officeDocument/2006/relationships/hyperlink" Target="http://search.electoralcommission.org.uk/Api/Spending/Invoices/66808" TargetMode="External"/><Relationship Id="rId2" Type="http://schemas.openxmlformats.org/officeDocument/2006/relationships/hyperlink" Target="http://search.electoralcommission.org.uk/Search/Spending?currentPage=1&amp;rows=20&amp;query=Reading%20West%20CA&amp;sort=TotalExpenditure&amp;order=desc&amp;tab=1&amp;et=pp&amp;includeOutsideSection75=true&amp;evt=ukparliament&amp;ev=3696&amp;optCols=ExpenseCategoryName&amp;optCols=AmountInEngland&amp;optCols=AmountInScotland&amp;optCols=AmountInWales&amp;optCols=AmountInNorthernIreland&amp;optCols=DatePaid" TargetMode="External"/><Relationship Id="rId1" Type="http://schemas.openxmlformats.org/officeDocument/2006/relationships/hyperlink" Target="http://search.electoralcommission.org.uk/Search/Registrations?currentPage=1&amp;rows=30&amp;sort=RegulatedEntityName&amp;order=asc&amp;open=filter&amp;et=pp&amp;et=ppm&amp;from=2019-12-11&amp;to=&amp;register=gb&amp;regStatus=registered&amp;optCols=EntityStatusName" TargetMode="External"/><Relationship Id="rId6" Type="http://schemas.openxmlformats.org/officeDocument/2006/relationships/hyperlink" Target="http://search.electoralcommission.org.uk/Api/Spending/Invoices/71362" TargetMode="External"/><Relationship Id="rId11" Type="http://schemas.openxmlformats.org/officeDocument/2006/relationships/hyperlink" Target="http://search.electoralcommission.org.uk/Api/Spending/Invoices/65307" TargetMode="External"/><Relationship Id="rId5" Type="http://schemas.openxmlformats.org/officeDocument/2006/relationships/hyperlink" Target="http://search.electoralcommission.org.uk/Api/Spending/Invoices/68079" TargetMode="External"/><Relationship Id="rId10" Type="http://schemas.openxmlformats.org/officeDocument/2006/relationships/hyperlink" Target="http://search.electoralcommission.org.uk/Api/Spending/Invoices/65018" TargetMode="External"/><Relationship Id="rId4" Type="http://schemas.openxmlformats.org/officeDocument/2006/relationships/hyperlink" Target="http://search.electoralcommission.org.uk/Api/Spending/Invoices/64590" TargetMode="External"/><Relationship Id="rId9" Type="http://schemas.openxmlformats.org/officeDocument/2006/relationships/hyperlink" Target="http://search.electoralcommission.org.uk/Api/Spending/Invoices/68473" TargetMode="External"/><Relationship Id="rId14" Type="http://schemas.openxmlformats.org/officeDocument/2006/relationships/hyperlink" Target="http://search.electoralcommission.org.uk/Api/Spending/Invoices/649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k4bc3ec4cde049a097a4d52293c70b8e xmlns="4232d240-6eea-4037-a75a-edc456fd7279">
      <Terms xmlns="http://schemas.microsoft.com/office/infopath/2007/PartnerControls">
        <TermInfo>
          <TermName>Internal</TermName>
          <TermId>3c32071d-f1ec-4a8c-bf32-cb4b7d77e122</TermId>
        </TermInfo>
      </Terms>
    </k4bc3ec4cde049a097a4d52293c70b8e>
    <ke80c6e2daee47639d0e18f453f2ec2a xmlns="4232d240-6eea-4037-a75a-edc456fd7279">
      <Terms xmlns="http://schemas.microsoft.com/office/infopath/2007/PartnerControls">
        <TermInfo>
          <TermName>Report</TermName>
          <TermId>0b9b8d26-66d5-4627-8a21-199468cc0b14</TermId>
        </TermInfo>
      </Terms>
    </ke80c6e2daee47639d0e18f453f2ec2a>
    <c8fb39ea7ae14fdcb368899b4f095616 xmlns="4232d240-6eea-4037-a75a-edc456fd7279">
      <Terms xmlns="http://schemas.microsoft.com/office/infopath/2007/PartnerControls"/>
    </c8fb39ea7ae14fdcb368899b4f095616>
    <TaxCatchAll xmlns="4232d240-6eea-4037-a75a-edc456fd7279">
      <Value>34</Value>
      <Value>120</Value>
      <Value>72</Value>
      <Value>71</Value>
      <Value>2</Value>
      <Value>1</Value>
      <Value>119</Value>
    </TaxCatchAll>
    <dc476da3a60e48988e652c6ee6570df9 xmlns="4232d240-6eea-4037-a75a-edc456fd7279">
      <Terms xmlns="http://schemas.microsoft.com/office/infopath/2007/PartnerControls">
        <TermInfo>
          <TermName>Money in politics</TermName>
          <TermId>af4d69ea-4a3f-4add-a56a-40959349e9e1</TermId>
        </TermInfo>
      </Terms>
    </dc476da3a60e48988e652c6ee6570df9>
    <f97f4779c0cf41a4bef3f8a65965035d xmlns="4232d240-6eea-4037-a75a-edc456fd7279">
      <Terms xmlns="http://schemas.microsoft.com/office/infopath/2007/PartnerControls">
        <TermInfo>
          <TermName>United Kingdom of Great Britain and Northern Ireland</TermName>
          <TermId>bc71f0a7-0739-4dfe-b6a4-3758be5e280e</TermId>
        </TermInfo>
      </Terms>
    </f97f4779c0cf41a4bef3f8a65965035d>
    <gd0ebd9aef7f46ddb45b1c6c50a7063f xmlns="4232d240-6eea-4037-a75a-edc456fd7279">
      <Terms xmlns="http://schemas.microsoft.com/office/infopath/2007/PartnerControls">
        <TermInfo>
          <TermName>English</TermName>
          <TermId>45798865-ca4d-4034-a541-eb08b66fd192</TermId>
        </TermInfo>
      </Terms>
    </gd0ebd9aef7f46ddb45b1c6c50a7063f>
    <g20b08ff303c4a489afdbe1fd5e367cc xmlns="4232d240-6eea-4037-a75a-edc456fd7279">
      <Terms xmlns="http://schemas.microsoft.com/office/infopath/2007/PartnerControls">
        <TermInfo>
          <TermName>2022</TermName>
          <TermId>13a980c7-0743-4ec4-80d9-2cbf552c1142</TermId>
        </TermInfo>
      </Terms>
    </g20b08ff303c4a489afdbe1fd5e367cc>
    <l67fd41e38eb41298ff8a0bbb041bd0f xmlns="4232d240-6eea-4037-a75a-edc456fd7279">
      <Terms xmlns="http://schemas.microsoft.com/office/infopath/2007/PartnerControls"/>
    </l67fd41e38eb41298ff8a0bbb041bd0f>
    <ka0a1fbbec6e4c069968738dce4647aa xmlns="4232d240-6eea-4037-a75a-edc456fd7279">
      <Terms xmlns="http://schemas.microsoft.com/office/infopath/2007/PartnerControls">
        <TermInfo>
          <TermName>Electoral Processes</TermName>
          <TermId>9582f4be-dabe-44f3-bd9a-dac338b76f2f</TermId>
        </TermInfo>
      </Terms>
    </ka0a1fbbec6e4c069968738dce4647aa>
  </documentManagement>
</p:properties>
</file>

<file path=customXml/item4.xml><?xml version="1.0" encoding="utf-8"?>
<?mso-contentType ?>
<SharedContentType xmlns="Microsoft.SharePoint.Taxonomy.ContentTypeSync" SourceId="11d05ef5-2dac-4649-a45e-e894ae1f4027" ContentTypeId="0x010100AE27DC3117EA7A40A67F4C1F68DF3632" PreviousValue="false"/>
</file>

<file path=customXml/item5.xml><?xml version="1.0" encoding="utf-8"?>
<ct:contentTypeSchema xmlns:ct="http://schemas.microsoft.com/office/2006/metadata/contentType" xmlns:ma="http://schemas.microsoft.com/office/2006/metadata/properties/metaAttributes" ct:_="" ma:_="" ma:contentTypeName="General Document" ma:contentTypeID="0x010100AE27DC3117EA7A40A67F4C1F68DF363200B1A6C7E250AA8B4190C20F38463C2D3B" ma:contentTypeVersion="4" ma:contentTypeDescription="" ma:contentTypeScope="" ma:versionID="d67c0505c163d45704429d734b15a78f">
  <xsd:schema xmlns:xsd="http://www.w3.org/2001/XMLSchema" xmlns:xs="http://www.w3.org/2001/XMLSchema" xmlns:p="http://schemas.microsoft.com/office/2006/metadata/properties" xmlns:ns2="4232d240-6eea-4037-a75a-edc456fd7279" targetNamespace="http://schemas.microsoft.com/office/2006/metadata/properties" ma:root="true" ma:fieldsID="e02db816b1eb8ff4dc6453249cc68b91" ns2:_="">
    <xsd:import namespace="4232d240-6eea-4037-a75a-edc456fd7279"/>
    <xsd:element name="properties">
      <xsd:complexType>
        <xsd:sequence>
          <xsd:element name="documentManagement">
            <xsd:complexType>
              <xsd:all>
                <xsd:element ref="ns2:TaxCatchAllLabel" minOccurs="0"/>
                <xsd:element ref="ns2:ke80c6e2daee47639d0e18f453f2ec2a" minOccurs="0"/>
                <xsd:element ref="ns2:dc476da3a60e48988e652c6ee6570df9" minOccurs="0"/>
                <xsd:element ref="ns2:gd0ebd9aef7f46ddb45b1c6c50a7063f" minOccurs="0"/>
                <xsd:element ref="ns2:ka0a1fbbec6e4c069968738dce4647aa" minOccurs="0"/>
                <xsd:element ref="ns2:c8fb39ea7ae14fdcb368899b4f095616" minOccurs="0"/>
                <xsd:element ref="ns2:g20b08ff303c4a489afdbe1fd5e367cc" minOccurs="0"/>
                <xsd:element ref="ns2:l67fd41e38eb41298ff8a0bbb041bd0f" minOccurs="0"/>
                <xsd:element ref="ns2:TaxCatchAll" minOccurs="0"/>
                <xsd:element ref="ns2:k4bc3ec4cde049a097a4d52293c70b8e" minOccurs="0"/>
                <xsd:element ref="ns2:f97f4779c0cf41a4bef3f8a65965035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2d240-6eea-4037-a75a-edc456fd7279" elementFormDefault="qualified">
    <xsd:import namespace="http://schemas.microsoft.com/office/2006/documentManagement/types"/>
    <xsd:import namespace="http://schemas.microsoft.com/office/infopath/2007/PartnerControls"/>
    <xsd:element name="TaxCatchAllLabel" ma:index="10" nillable="true" ma:displayName="Taxonomy Catch All Column1" ma:hidden="true" ma:list="{bba962d7-ab10-418c-956b-d3ab8af45160}" ma:internalName="TaxCatchAllLabel" ma:readOnly="true" ma:showField="CatchAllDataLabel" ma:web="abbc84ae-b8cb-4565-b9f9-5c64cb9c65bb">
      <xsd:complexType>
        <xsd:complexContent>
          <xsd:extension base="dms:MultiChoiceLookup">
            <xsd:sequence>
              <xsd:element name="Value" type="dms:Lookup" maxOccurs="unbounded" minOccurs="0" nillable="true"/>
            </xsd:sequence>
          </xsd:extension>
        </xsd:complexContent>
      </xsd:complexType>
    </xsd:element>
    <xsd:element name="ke80c6e2daee47639d0e18f453f2ec2a" ma:index="12" ma:taxonomy="true" ma:internalName="ke80c6e2daee47639d0e18f453f2ec2a" ma:taxonomyFieldName="DocumentType" ma:displayName="Document type" ma:readOnly="false" ma:default="" ma:fieldId="{4e80c6e2-daee-4763-9d0e-18f453f2ec2a}" ma:sspId="11d05ef5-2dac-4649-a45e-e894ae1f4027" ma:termSetId="e622d2cc-9d78-465e-b98b-e3cb63b89c5d" ma:anchorId="00000000-0000-0000-0000-000000000000" ma:open="false" ma:isKeyword="false">
      <xsd:complexType>
        <xsd:sequence>
          <xsd:element ref="pc:Terms" minOccurs="0" maxOccurs="1"/>
        </xsd:sequence>
      </xsd:complexType>
    </xsd:element>
    <xsd:element name="dc476da3a60e48988e652c6ee6570df9" ma:index="14" nillable="true" ma:taxonomy="true" ma:internalName="dc476da3a60e48988e652c6ee6570df9" ma:taxonomyFieldName="Keywords1" ma:displayName="Keywords" ma:default="" ma:fieldId="{dc476da3-a60e-4898-8e65-2c6ee6570df9}" ma:taxonomyMulti="true" ma:sspId="11d05ef5-2dac-4649-a45e-e894ae1f4027" ma:termSetId="4e676dc9-e549-4ef6-99dd-f64f98ebce41" ma:anchorId="00000000-0000-0000-0000-000000000000" ma:open="true" ma:isKeyword="false">
      <xsd:complexType>
        <xsd:sequence>
          <xsd:element ref="pc:Terms" minOccurs="0" maxOccurs="1"/>
        </xsd:sequence>
      </xsd:complexType>
    </xsd:element>
    <xsd:element name="gd0ebd9aef7f46ddb45b1c6c50a7063f" ma:index="16" ma:taxonomy="true" ma:internalName="gd0ebd9aef7f46ddb45b1c6c50a7063f" ma:taxonomyFieldName="Language1" ma:displayName="Language" ma:readOnly="false" ma:default="2;#English|45798865-ca4d-4034-a541-eb08b66fd192" ma:fieldId="{0d0ebd9a-ef7f-46dd-b45b-1c6c50a7063f}" ma:sspId="11d05ef5-2dac-4649-a45e-e894ae1f4027" ma:termSetId="e0a9f2d7-d14c-4b9a-bdae-94ae36a7454d" ma:anchorId="00000000-0000-0000-0000-000000000000" ma:open="false" ma:isKeyword="false">
      <xsd:complexType>
        <xsd:sequence>
          <xsd:element ref="pc:Terms" minOccurs="0" maxOccurs="1"/>
        </xsd:sequence>
      </xsd:complexType>
    </xsd:element>
    <xsd:element name="ka0a1fbbec6e4c069968738dce4647aa" ma:index="18" ma:taxonomy="true" ma:internalName="ka0a1fbbec6e4c069968738dce4647aa" ma:taxonomyFieldName="OrgStructure" ma:displayName="Function/Theme" ma:readOnly="false" ma:default="" ma:fieldId="{4a0a1fbb-ec6e-4c06-9968-738dce4647aa}" ma:taxonomyMulti="true" ma:sspId="11d05ef5-2dac-4649-a45e-e894ae1f4027" ma:termSetId="4dac4ce6-974c-4ae6-94a0-06c28f47f42b" ma:anchorId="00000000-0000-0000-0000-000000000000" ma:open="false" ma:isKeyword="false">
      <xsd:complexType>
        <xsd:sequence>
          <xsd:element ref="pc:Terms" minOccurs="0" maxOccurs="1"/>
        </xsd:sequence>
      </xsd:complexType>
    </xsd:element>
    <xsd:element name="c8fb39ea7ae14fdcb368899b4f095616" ma:index="20" nillable="true" ma:taxonomy="true" ma:internalName="c8fb39ea7ae14fdcb368899b4f095616" ma:taxonomyFieldName="Period" ma:displayName="Period" ma:default="" ma:fieldId="{c8fb39ea-7ae1-4fdc-b368-899b4f095616}" ma:taxonomyMulti="true" ma:sspId="11d05ef5-2dac-4649-a45e-e894ae1f4027" ma:termSetId="2026f2b8-dc3d-4ca7-9b26-cbf4cadda916" ma:anchorId="00000000-0000-0000-0000-000000000000" ma:open="false" ma:isKeyword="false">
      <xsd:complexType>
        <xsd:sequence>
          <xsd:element ref="pc:Terms" minOccurs="0" maxOccurs="1"/>
        </xsd:sequence>
      </xsd:complexType>
    </xsd:element>
    <xsd:element name="g20b08ff303c4a489afdbe1fd5e367cc" ma:index="22" nillable="true" ma:taxonomy="true" ma:internalName="g20b08ff303c4a489afdbe1fd5e367cc" ma:taxonomyFieldName="Year" ma:displayName="Year" ma:readOnly="false" ma:default="" ma:fieldId="{020b08ff-303c-4a48-9afd-be1fd5e367cc}" ma:taxonomyMulti="true" ma:sspId="11d05ef5-2dac-4649-a45e-e894ae1f4027" ma:termSetId="8e8e8c7b-6a40-4db0-a5b4-5fc1c0ee5de7" ma:anchorId="00000000-0000-0000-0000-000000000000" ma:open="false" ma:isKeyword="false">
      <xsd:complexType>
        <xsd:sequence>
          <xsd:element ref="pc:Terms" minOccurs="0" maxOccurs="1"/>
        </xsd:sequence>
      </xsd:complexType>
    </xsd:element>
    <xsd:element name="l67fd41e38eb41298ff8a0bbb041bd0f" ma:index="24" nillable="true" ma:taxonomy="true" ma:internalName="l67fd41e38eb41298ff8a0bbb041bd0f" ma:taxonomyFieldName="Project_x0020_number" ma:displayName="Project number" ma:default="" ma:fieldId="{567fd41e-38eb-4129-8ff8-a0bbb041bd0f}" ma:sspId="11d05ef5-2dac-4649-a45e-e894ae1f4027" ma:termSetId="f875bcb0-4e71-40df-822c-5fc7e61f7470" ma:anchorId="00000000-0000-0000-0000-000000000000" ma:open="true" ma:isKeyword="false">
      <xsd:complexType>
        <xsd:sequence>
          <xsd:element ref="pc:Terms" minOccurs="0" maxOccurs="1"/>
        </xsd:sequence>
      </xsd:complexType>
    </xsd:element>
    <xsd:element name="TaxCatchAll" ma:index="25" nillable="true" ma:displayName="Taxonomy Catch All Column" ma:hidden="true" ma:list="{bba962d7-ab10-418c-956b-d3ab8af45160}" ma:internalName="TaxCatchAll" ma:showField="CatchAllData" ma:web="abbc84ae-b8cb-4565-b9f9-5c64cb9c65bb">
      <xsd:complexType>
        <xsd:complexContent>
          <xsd:extension base="dms:MultiChoiceLookup">
            <xsd:sequence>
              <xsd:element name="Value" type="dms:Lookup" maxOccurs="unbounded" minOccurs="0" nillable="true"/>
            </xsd:sequence>
          </xsd:extension>
        </xsd:complexContent>
      </xsd:complexType>
    </xsd:element>
    <xsd:element name="k4bc3ec4cde049a097a4d52293c70b8e" ma:index="26" ma:taxonomy="true" ma:internalName="k4bc3ec4cde049a097a4d52293c70b8e" ma:taxonomyFieldName="Sensitivity" ma:displayName="Sensitivity" ma:readOnly="false" ma:default="1;#Internal|3c32071d-f1ec-4a8c-bf32-cb4b7d77e122" ma:fieldId="{44bc3ec4-cde0-49a0-97a4-d52293c70b8e}" ma:sspId="11d05ef5-2dac-4649-a45e-e894ae1f4027" ma:termSetId="843db6b3-a807-4dd8-9048-fd9ede459c61" ma:anchorId="00000000-0000-0000-0000-000000000000" ma:open="false" ma:isKeyword="false">
      <xsd:complexType>
        <xsd:sequence>
          <xsd:element ref="pc:Terms" minOccurs="0" maxOccurs="1"/>
        </xsd:sequence>
      </xsd:complexType>
    </xsd:element>
    <xsd:element name="f97f4779c0cf41a4bef3f8a65965035d" ma:index="27" ma:taxonomy="true" ma:internalName="f97f4779c0cf41a4bef3f8a65965035d" ma:taxonomyFieldName="ApplicableCountriesTerritories" ma:displayName="Applicable countries/territories" ma:readOnly="false" ma:default="" ma:fieldId="{f97f4779-c0cf-41a4-bef3-f8a65965035d}" ma:taxonomyMulti="true" ma:sspId="11d05ef5-2dac-4649-a45e-e894ae1f4027" ma:termSetId="3c8c36c9-d359-4172-81b7-76a02a2f459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E92F10-DC5E-45D5-8859-9208255DE5A8}">
  <ds:schemaRefs>
    <ds:schemaRef ds:uri="http://schemas.microsoft.com/sharepoint/v3/contenttype/forms"/>
  </ds:schemaRefs>
</ds:datastoreItem>
</file>

<file path=customXml/itemProps2.xml><?xml version="1.0" encoding="utf-8"?>
<ds:datastoreItem xmlns:ds="http://schemas.openxmlformats.org/officeDocument/2006/customXml" ds:itemID="{C2FD4E9A-F2AB-455B-9A89-771D452D8EED}">
  <ds:schemaRefs>
    <ds:schemaRef ds:uri="http://schemas.openxmlformats.org/officeDocument/2006/bibliography"/>
  </ds:schemaRefs>
</ds:datastoreItem>
</file>

<file path=customXml/itemProps3.xml><?xml version="1.0" encoding="utf-8"?>
<ds:datastoreItem xmlns:ds="http://schemas.openxmlformats.org/officeDocument/2006/customXml" ds:itemID="{33CE1FDB-7064-44F9-97A6-14B38E12247A}">
  <ds:schemaRefs>
    <ds:schemaRef ds:uri="http://schemas.microsoft.com/office/2006/metadata/properties"/>
    <ds:schemaRef ds:uri="http://schemas.microsoft.com/office/infopath/2007/PartnerControls"/>
    <ds:schemaRef ds:uri="4232d240-6eea-4037-a75a-edc456fd7279"/>
  </ds:schemaRefs>
</ds:datastoreItem>
</file>

<file path=customXml/itemProps4.xml><?xml version="1.0" encoding="utf-8"?>
<ds:datastoreItem xmlns:ds="http://schemas.openxmlformats.org/officeDocument/2006/customXml" ds:itemID="{B25C5ACE-0760-4DD7-8FD3-3CF90C77D765}">
  <ds:schemaRefs>
    <ds:schemaRef ds:uri="Microsoft.SharePoint.Taxonomy.ContentTypeSync"/>
  </ds:schemaRefs>
</ds:datastoreItem>
</file>

<file path=customXml/itemProps5.xml><?xml version="1.0" encoding="utf-8"?>
<ds:datastoreItem xmlns:ds="http://schemas.openxmlformats.org/officeDocument/2006/customXml" ds:itemID="{0443E7B2-4159-4AA5-8C04-0B2F7AF81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2d240-6eea-4037-a75a-edc456fd7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17296</Words>
  <Characters>98592</Characters>
  <Application>Microsoft Office Word</Application>
  <DocSecurity>0</DocSecurity>
  <Lines>821</Lines>
  <Paragraphs>231</Paragraphs>
  <ScaleCrop>false</ScaleCrop>
  <Company/>
  <LinksUpToDate>false</LinksUpToDate>
  <CharactersWithSpaces>115657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Yukihiko Hamada</dc:creator>
  <dc:description/>
  <cp:lastModifiedBy>Lisa Hagman</cp:lastModifiedBy>
  <cp:revision>4</cp:revision>
  <dcterms:created xsi:type="dcterms:W3CDTF">2022-10-05T11:05:00Z</dcterms:created>
  <dcterms:modified xsi:type="dcterms:W3CDTF">2022-11-02T10:35:00Z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ApplicableCountriesTerritories">
    <vt:lpwstr>119;#United Kingdom of Great Britain and Northern Ireland|bc71f0a7-0739-4dfe-b6a4-3758be5e280e</vt:lpwstr>
  </property>
  <property fmtid="{D5CDD505-2E9C-101B-9397-08002B2CF9AE}" pid="4" name="ContentTypeId">
    <vt:lpwstr>0x010100AE27DC3117EA7A40A67F4C1F68DF363200B1A6C7E250AA8B4190C20F38463C2D3B</vt:lpwstr>
  </property>
  <property fmtid="{D5CDD505-2E9C-101B-9397-08002B2CF9AE}" pid="5" name="DocSecurity">
    <vt:i4>0</vt:i4>
  </property>
  <property fmtid="{D5CDD505-2E9C-101B-9397-08002B2CF9AE}" pid="6" name="DocumentType">
    <vt:lpwstr>71;#Report|0b9b8d26-66d5-4627-8a21-199468cc0b14</vt:lpwstr>
  </property>
  <property fmtid="{D5CDD505-2E9C-101B-9397-08002B2CF9AE}" pid="7" name="HyperlinksChanged">
    <vt:bool>false</vt:bool>
  </property>
  <property fmtid="{D5CDD505-2E9C-101B-9397-08002B2CF9AE}" pid="8" name="Keywords1">
    <vt:lpwstr>72;#Money in politics|af4d69ea-4a3f-4add-a56a-40959349e9e1</vt:lpwstr>
  </property>
  <property fmtid="{D5CDD505-2E9C-101B-9397-08002B2CF9AE}" pid="9" name="Language1">
    <vt:lpwstr>2;#English|45798865-ca4d-4034-a541-eb08b66fd192</vt:lpwstr>
  </property>
  <property fmtid="{D5CDD505-2E9C-101B-9397-08002B2CF9AE}" pid="10" name="LinksUpToDate">
    <vt:bool>false</vt:bool>
  </property>
  <property fmtid="{D5CDD505-2E9C-101B-9397-08002B2CF9AE}" pid="11" name="OrgStructure">
    <vt:lpwstr>34;#Electoral Processes|9582f4be-dabe-44f3-bd9a-dac338b76f2f</vt:lpwstr>
  </property>
  <property fmtid="{D5CDD505-2E9C-101B-9397-08002B2CF9AE}" pid="12" name="Period">
    <vt:lpwstr/>
  </property>
  <property fmtid="{D5CDD505-2E9C-101B-9397-08002B2CF9AE}" pid="13" name="Project number">
    <vt:lpwstr/>
  </property>
  <property fmtid="{D5CDD505-2E9C-101B-9397-08002B2CF9AE}" pid="14" name="Project_x0020_number">
    <vt:lpwstr/>
  </property>
  <property fmtid="{D5CDD505-2E9C-101B-9397-08002B2CF9AE}" pid="15" name="ScaleCrop">
    <vt:bool>false</vt:bool>
  </property>
  <property fmtid="{D5CDD505-2E9C-101B-9397-08002B2CF9AE}" pid="16" name="Sensitivity">
    <vt:lpwstr>1;#Internal|3c32071d-f1ec-4a8c-bf32-cb4b7d77e122</vt:lpwstr>
  </property>
  <property fmtid="{D5CDD505-2E9C-101B-9397-08002B2CF9AE}" pid="17" name="ShareDoc">
    <vt:bool>false</vt:bool>
  </property>
  <property fmtid="{D5CDD505-2E9C-101B-9397-08002B2CF9AE}" pid="18" name="TaxCatchAll">
    <vt:lpwstr>2;#English;#1;#Internal</vt:lpwstr>
  </property>
  <property fmtid="{D5CDD505-2E9C-101B-9397-08002B2CF9AE}" pid="19" name="Year">
    <vt:lpwstr>120;#2022|13a980c7-0743-4ec4-80d9-2cbf552c1142</vt:lpwstr>
  </property>
  <property fmtid="{D5CDD505-2E9C-101B-9397-08002B2CF9AE}" pid="20" name="gd0ebd9aef7f46ddb45b1c6c50a7063f">
    <vt:lpwstr>English|45798865-ca4d-4034-a541-eb08b66fd192</vt:lpwstr>
  </property>
  <property fmtid="{D5CDD505-2E9C-101B-9397-08002B2CF9AE}" pid="21" name="k4bc3ec4cde049a097a4d52293c70b8e">
    <vt:lpwstr>Internal|3c32071d-f1ec-4a8c-bf32-cb4b7d77e122</vt:lpwstr>
  </property>
  <property fmtid="{D5CDD505-2E9C-101B-9397-08002B2CF9AE}" pid="22" name="MediaServiceImageTags">
    <vt:lpwstr/>
  </property>
  <property fmtid="{D5CDD505-2E9C-101B-9397-08002B2CF9AE}" pid="23" name="lcf76f155ced4ddcb4097134ff3c332f">
    <vt:lpwstr/>
  </property>
</Properties>
</file>